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72AD6" w14:textId="77777777" w:rsidR="00801539" w:rsidRPr="00623EFC" w:rsidRDefault="00801539" w:rsidP="00623EFC">
      <w:pPr>
        <w:rPr>
          <w:rFonts w:cstheme="minorHAnsi"/>
          <w:i/>
          <w:sz w:val="24"/>
          <w:szCs w:val="24"/>
        </w:rPr>
      </w:pPr>
    </w:p>
    <w:p w14:paraId="20A32CAF" w14:textId="77777777" w:rsidR="00801539" w:rsidRPr="00623EFC" w:rsidRDefault="00801539" w:rsidP="00623EFC">
      <w:pPr>
        <w:rPr>
          <w:rFonts w:cstheme="minorHAnsi"/>
          <w:i/>
          <w:sz w:val="24"/>
          <w:szCs w:val="24"/>
        </w:rPr>
      </w:pPr>
    </w:p>
    <w:p w14:paraId="2E78612D" w14:textId="47E02029" w:rsidR="00801539" w:rsidRDefault="00801539" w:rsidP="00623EFC">
      <w:pPr>
        <w:rPr>
          <w:rFonts w:cstheme="minorHAnsi"/>
          <w:sz w:val="24"/>
          <w:szCs w:val="24"/>
        </w:rPr>
      </w:pPr>
    </w:p>
    <w:p w14:paraId="7C3E9F8E" w14:textId="325E396A" w:rsidR="0007079C" w:rsidRDefault="0007079C" w:rsidP="00BF162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SZACOWANIE WARTOŚCI ZAMOWIENIA</w:t>
      </w:r>
    </w:p>
    <w:p w14:paraId="63CD6967" w14:textId="5A5182B6" w:rsidR="0007079C" w:rsidRDefault="0007079C" w:rsidP="00BF1624">
      <w:pPr>
        <w:jc w:val="center"/>
        <w:rPr>
          <w:rFonts w:cstheme="minorHAnsi"/>
          <w:sz w:val="24"/>
          <w:szCs w:val="24"/>
        </w:rPr>
      </w:pPr>
    </w:p>
    <w:p w14:paraId="04106859" w14:textId="6614CD7C" w:rsidR="0007079C" w:rsidRPr="00BF1624" w:rsidRDefault="0007079C" w:rsidP="0007079C">
      <w:p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W ramach przygotowań do rozpoczęcia postępowania o udzielenie przez PARP zamówienia publicznego na realizację badania ewaluacyjnego pn. „Wpływ Bazy Usług Rozwojowych na jakość i rynek usług rozwojowych oraz ocena Podmiotowych Systemów Finansowania – etap II”, zwracamy się z prośbą o wycenę usługi zgodnie z opisem zamieszczonym poniżej</w:t>
      </w:r>
    </w:p>
    <w:p w14:paraId="5B34C513" w14:textId="77777777" w:rsidR="00801539" w:rsidRPr="00623EFC" w:rsidRDefault="00801539" w:rsidP="00623EFC">
      <w:pPr>
        <w:rPr>
          <w:rFonts w:cstheme="minorHAnsi"/>
          <w:sz w:val="24"/>
          <w:szCs w:val="24"/>
        </w:rPr>
      </w:pPr>
    </w:p>
    <w:p w14:paraId="12795FEB" w14:textId="77777777" w:rsidR="00801539" w:rsidRPr="00623EFC" w:rsidRDefault="00801539" w:rsidP="00623EFC">
      <w:pPr>
        <w:rPr>
          <w:rFonts w:cstheme="minorHAnsi"/>
          <w:sz w:val="24"/>
          <w:szCs w:val="24"/>
        </w:rPr>
      </w:pPr>
    </w:p>
    <w:p w14:paraId="163B89F2" w14:textId="77777777" w:rsidR="00801539" w:rsidRPr="00623EFC" w:rsidRDefault="00801539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u w:val="single"/>
          <w:lang w:eastAsia="en-US"/>
        </w:rPr>
      </w:pPr>
    </w:p>
    <w:p w14:paraId="0527CA8E" w14:textId="77777777" w:rsidR="00801539" w:rsidRPr="004E1F05" w:rsidRDefault="00623EFC" w:rsidP="00623EFC">
      <w:pPr>
        <w:pStyle w:val="Nagwek1"/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4"/>
          <w:szCs w:val="24"/>
        </w:rPr>
      </w:pPr>
      <w:r w:rsidRPr="004E1F05">
        <w:rPr>
          <w:rFonts w:asciiTheme="minorHAnsi" w:eastAsiaTheme="minorHAnsi" w:hAnsiTheme="minorHAnsi" w:cstheme="minorHAnsi"/>
          <w:b/>
          <w:sz w:val="24"/>
          <w:szCs w:val="24"/>
        </w:rPr>
        <w:t xml:space="preserve">Kontekst badania </w:t>
      </w:r>
    </w:p>
    <w:p w14:paraId="6292618E" w14:textId="77777777" w:rsidR="00623EFC" w:rsidRPr="00A9762C" w:rsidRDefault="00623EFC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</w:p>
    <w:p w14:paraId="24B578BA" w14:textId="77777777" w:rsidR="00A9762C" w:rsidRPr="004E1F05" w:rsidRDefault="00A9762C" w:rsidP="00A9762C">
      <w:pPr>
        <w:pStyle w:val="NormalnyWeb"/>
        <w:numPr>
          <w:ilvl w:val="1"/>
          <w:numId w:val="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b/>
          <w:lang w:eastAsia="en-US"/>
        </w:rPr>
      </w:pPr>
      <w:r w:rsidRPr="004E1F05">
        <w:rPr>
          <w:rFonts w:asciiTheme="minorHAnsi" w:eastAsiaTheme="minorHAnsi" w:hAnsiTheme="minorHAnsi" w:cstheme="minorHAnsi"/>
          <w:b/>
          <w:lang w:eastAsia="en-US"/>
        </w:rPr>
        <w:t>Baza Usług Rozwojowych i Podmiotowy System Finansowania</w:t>
      </w:r>
    </w:p>
    <w:p w14:paraId="60E53FE0" w14:textId="109099AC" w:rsidR="00623EFC" w:rsidRPr="00A9762C" w:rsidRDefault="00623EFC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A9762C">
        <w:rPr>
          <w:rFonts w:asciiTheme="minorHAnsi" w:eastAsiaTheme="minorHAnsi" w:hAnsiTheme="minorHAnsi" w:cstheme="minorHAnsi"/>
          <w:lang w:eastAsia="en-US"/>
        </w:rPr>
        <w:t xml:space="preserve">W ramach perspektywy finansowej 2014-2020 system dystrybucji środków Europejskiego Funduszu Społecznego przeznaczonych na wspieranie adaptacyjności przedsiębiorców i pracowników został oparty na podejściu popytowym. Przyjęto, że trafność, skuteczność, użyteczność oraz trwałość działań w zakresie podnoszenia kwalifikacji/umiejętności </w:t>
      </w:r>
      <w:r w:rsidR="00F270DB">
        <w:rPr>
          <w:rFonts w:asciiTheme="minorHAnsi" w:eastAsiaTheme="minorHAnsi" w:hAnsiTheme="minorHAnsi" w:cstheme="minorHAnsi"/>
          <w:lang w:eastAsia="en-US"/>
        </w:rPr>
        <w:t xml:space="preserve">kadr w przedsiębiorstwach </w:t>
      </w:r>
      <w:r w:rsidR="005D5838" w:rsidRPr="00A9762C">
        <w:rPr>
          <w:rFonts w:asciiTheme="minorHAnsi" w:eastAsiaTheme="minorHAnsi" w:hAnsiTheme="minorHAnsi" w:cstheme="minorHAnsi"/>
          <w:lang w:eastAsia="en-US"/>
        </w:rPr>
        <w:t xml:space="preserve">będzie większa jeżeli to </w:t>
      </w:r>
      <w:r w:rsidR="00F270DB">
        <w:rPr>
          <w:rFonts w:asciiTheme="minorHAnsi" w:eastAsiaTheme="minorHAnsi" w:hAnsiTheme="minorHAnsi" w:cstheme="minorHAnsi"/>
          <w:lang w:eastAsia="en-US"/>
        </w:rPr>
        <w:t xml:space="preserve">przedstawiciele przedsiębiorstw </w:t>
      </w:r>
      <w:r w:rsidR="005D5838" w:rsidRPr="00A9762C">
        <w:rPr>
          <w:rFonts w:asciiTheme="minorHAnsi" w:eastAsiaTheme="minorHAnsi" w:hAnsiTheme="minorHAnsi" w:cstheme="minorHAnsi"/>
          <w:lang w:eastAsia="en-US"/>
        </w:rPr>
        <w:t xml:space="preserve">będą decydowali o wyborze usługodawcy, zgodnie z potrzebami rozwojowymi. Opisany mechanizm jest zatem przeciwieństwem </w:t>
      </w:r>
      <w:r w:rsidR="00F270DB">
        <w:rPr>
          <w:rFonts w:asciiTheme="minorHAnsi" w:eastAsiaTheme="minorHAnsi" w:hAnsiTheme="minorHAnsi" w:cstheme="minorHAnsi"/>
          <w:lang w:eastAsia="en-US"/>
        </w:rPr>
        <w:t>systemu podażowego</w:t>
      </w:r>
      <w:r w:rsidR="005D5838" w:rsidRPr="00A9762C">
        <w:rPr>
          <w:rFonts w:asciiTheme="minorHAnsi" w:eastAsiaTheme="minorHAnsi" w:hAnsiTheme="minorHAnsi" w:cstheme="minorHAnsi"/>
          <w:lang w:eastAsia="en-US"/>
        </w:rPr>
        <w:t>, kiedy to na podmiotach świadczących usługi rozwojowe</w:t>
      </w:r>
      <w:r w:rsidR="00A9762C">
        <w:rPr>
          <w:rStyle w:val="Odwoanieprzypisudolnego"/>
          <w:rFonts w:asciiTheme="minorHAnsi" w:eastAsiaTheme="minorHAnsi" w:hAnsiTheme="minorHAnsi" w:cstheme="minorHAnsi"/>
          <w:lang w:eastAsia="en-US"/>
        </w:rPr>
        <w:footnoteReference w:id="1"/>
      </w:r>
      <w:r w:rsidR="005D5838" w:rsidRPr="00A9762C">
        <w:rPr>
          <w:rFonts w:asciiTheme="minorHAnsi" w:eastAsiaTheme="minorHAnsi" w:hAnsiTheme="minorHAnsi" w:cstheme="minorHAnsi"/>
          <w:lang w:eastAsia="en-US"/>
        </w:rPr>
        <w:t xml:space="preserve"> spoczywa obowiązek pozyskania klientów, zgodnie z ustalonymi wcześniej wskaźnikami projektów. </w:t>
      </w:r>
    </w:p>
    <w:p w14:paraId="55D05914" w14:textId="77777777" w:rsidR="005D5838" w:rsidRPr="00A9762C" w:rsidRDefault="005D5838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A9762C">
        <w:rPr>
          <w:rFonts w:asciiTheme="minorHAnsi" w:eastAsiaTheme="minorHAnsi" w:hAnsiTheme="minorHAnsi" w:cstheme="minorHAnsi"/>
          <w:lang w:eastAsia="en-US"/>
        </w:rPr>
        <w:t xml:space="preserve">Podejście popytowe jest wdrażane na dwóch poziomach: krajowym oraz regionalnym. </w:t>
      </w:r>
    </w:p>
    <w:p w14:paraId="34F632E7" w14:textId="77777777" w:rsidR="005D5838" w:rsidRPr="00A9762C" w:rsidRDefault="005D5838" w:rsidP="005D5838">
      <w:pPr>
        <w:pStyle w:val="NormalnyWeb"/>
        <w:numPr>
          <w:ilvl w:val="0"/>
          <w:numId w:val="16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A9762C">
        <w:rPr>
          <w:rFonts w:asciiTheme="minorHAnsi" w:eastAsiaTheme="minorHAnsi" w:hAnsiTheme="minorHAnsi" w:cstheme="minorHAnsi"/>
          <w:lang w:eastAsia="en-US"/>
        </w:rPr>
        <w:t xml:space="preserve">Krajowy – skupiony jest na zapewnieniu wysokiej jakości usług i jest realizowany z wykorzystaniem narzędzia elektronicznego – Baza Usług Rozwojowych (BUR </w:t>
      </w:r>
      <w:hyperlink r:id="rId8" w:history="1">
        <w:r w:rsidRPr="00A9762C">
          <w:rPr>
            <w:rStyle w:val="Hipercze"/>
          </w:rPr>
          <w:t>https://uslugirozwojowe.parp.gov.pl/</w:t>
        </w:r>
      </w:hyperlink>
      <w:r w:rsidRPr="00A9762C">
        <w:t xml:space="preserve">) </w:t>
      </w:r>
    </w:p>
    <w:p w14:paraId="640B8B34" w14:textId="77777777" w:rsidR="005D5838" w:rsidRPr="00A9762C" w:rsidRDefault="005D5838" w:rsidP="005D5838">
      <w:pPr>
        <w:pStyle w:val="NormalnyWeb"/>
        <w:numPr>
          <w:ilvl w:val="0"/>
          <w:numId w:val="16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A9762C">
        <w:rPr>
          <w:rFonts w:asciiTheme="minorHAnsi" w:eastAsiaTheme="minorHAnsi" w:hAnsiTheme="minorHAnsi" w:cstheme="minorHAnsi"/>
          <w:lang w:eastAsia="en-US"/>
        </w:rPr>
        <w:t xml:space="preserve">Regionalny –  jest to Podmiotowy System Finansowania (PSF) i dotyczy dystrybucji środków EFS przeznaczonych na wspieranie rozwoju przedsiębiorstw i ich pracowników. PSF funkcjonuje w 14 województwach. </w:t>
      </w:r>
    </w:p>
    <w:p w14:paraId="29E82814" w14:textId="77777777" w:rsidR="00A9762C" w:rsidRPr="00A9762C" w:rsidRDefault="00A9762C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</w:p>
    <w:p w14:paraId="4A56471B" w14:textId="77777777" w:rsidR="00A9762C" w:rsidRPr="004E1F05" w:rsidRDefault="00A9762C" w:rsidP="00A9762C">
      <w:pPr>
        <w:pStyle w:val="NormalnyWeb"/>
        <w:numPr>
          <w:ilvl w:val="1"/>
          <w:numId w:val="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b/>
          <w:lang w:eastAsia="en-US"/>
        </w:rPr>
      </w:pPr>
      <w:r w:rsidRPr="004E1F05">
        <w:rPr>
          <w:rFonts w:asciiTheme="minorHAnsi" w:eastAsiaTheme="minorHAnsi" w:hAnsiTheme="minorHAnsi" w:cstheme="minorHAnsi"/>
          <w:b/>
          <w:lang w:eastAsia="en-US"/>
        </w:rPr>
        <w:t xml:space="preserve">Zasady działania </w:t>
      </w:r>
    </w:p>
    <w:p w14:paraId="6AF2A75B" w14:textId="77777777" w:rsidR="00A9762C" w:rsidRDefault="00A9762C" w:rsidP="00623EFC">
      <w:pPr>
        <w:pStyle w:val="NormalnyWeb"/>
        <w:shd w:val="clear" w:color="auto" w:fill="FFFFFF"/>
        <w:spacing w:line="270" w:lineRule="atLeast"/>
      </w:pPr>
      <w:r>
        <w:rPr>
          <w:rFonts w:asciiTheme="minorHAnsi" w:eastAsiaTheme="minorHAnsi" w:hAnsiTheme="minorHAnsi" w:cstheme="minorHAnsi"/>
          <w:lang w:eastAsia="en-US"/>
        </w:rPr>
        <w:lastRenderedPageBreak/>
        <w:t xml:space="preserve">Baza Usług Rozwojowych jest platformą, na której znajduje się oferta podmiotów świadczących usługi rozwojowe, przy czym usługodawca, który zamierza publikować swoją ofertę za pośrednictwem BUR musi spełniać określone kryteria, zgodnie z regulaminem Bazy </w:t>
      </w:r>
      <w:hyperlink r:id="rId9" w:history="1">
        <w:r>
          <w:rPr>
            <w:rStyle w:val="Hipercze"/>
          </w:rPr>
          <w:t>https://serwis-uslugirozwojowe.parp.gov.pl/informacje-o-portalu/regulamin</w:t>
        </w:r>
      </w:hyperlink>
    </w:p>
    <w:p w14:paraId="7A0B3202" w14:textId="77777777" w:rsidR="00A9762C" w:rsidRDefault="00A9762C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Usługi są ujęte w 12 kategoriach </w:t>
      </w:r>
      <w:r w:rsidR="007164F3">
        <w:rPr>
          <w:rFonts w:asciiTheme="minorHAnsi" w:eastAsiaTheme="minorHAnsi" w:hAnsiTheme="minorHAnsi" w:cstheme="minorHAnsi"/>
          <w:lang w:eastAsia="en-US"/>
        </w:rPr>
        <w:t>tematycznych, każda z dodatkowo została podzielona na podkategorie; liczba podkategorii w ramach kategorii jest zróżnicowana, np. Ekologia i rolnictwo zawiera 3 podkategorie, a Finanse i ba</w:t>
      </w:r>
      <w:r w:rsidR="00D97BD0">
        <w:rPr>
          <w:rFonts w:asciiTheme="minorHAnsi" w:eastAsiaTheme="minorHAnsi" w:hAnsiTheme="minorHAnsi" w:cstheme="minorHAnsi"/>
          <w:lang w:eastAsia="en-US"/>
        </w:rPr>
        <w:t>n</w:t>
      </w:r>
      <w:r w:rsidR="007164F3">
        <w:rPr>
          <w:rFonts w:asciiTheme="minorHAnsi" w:eastAsiaTheme="minorHAnsi" w:hAnsiTheme="minorHAnsi" w:cstheme="minorHAnsi"/>
          <w:lang w:eastAsia="en-US"/>
        </w:rPr>
        <w:t xml:space="preserve">kowość 9 podkategorii. </w:t>
      </w:r>
    </w:p>
    <w:p w14:paraId="1A8A82EC" w14:textId="77777777" w:rsidR="00D761AC" w:rsidRDefault="00D761AC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Aby skorzystać z usług rozwojowych znajdujących się w BUR przedsiębiorcy muszą się zarejestrować w Bazie oraz skorzystać z Podmiotowego Systemu Finansowania. W ramach tego systemu w regionach działają Operatorzy, do których zadań należy kompleksowa obsługa przedsiębiorcy, m.in. przyjmowanie, ocenianie i rozliczanie wniosków o wsparcie, działania kontrolne oraz monitoringowe (np. sprawdzanie zgodności z oczekiwanym standardem świadczonych usług rozwojowych). </w:t>
      </w:r>
    </w:p>
    <w:p w14:paraId="4ECD4584" w14:textId="77777777" w:rsidR="00D761AC" w:rsidRDefault="00D761AC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W ramach PSF funkcjonują różne modele dystrybucji środków, ale również różnice (w zależności od województwa) mogą występować w zakresie kryteriów wyboru Operatora, liczby Operatorów, jak również warunków przyznawania wsparcia. Istotne jednak jest, że zasadniczo można wyróżnić 3 modele:</w:t>
      </w:r>
    </w:p>
    <w:p w14:paraId="33F0B21E" w14:textId="77777777" w:rsidR="00D761AC" w:rsidRDefault="00FB06CF" w:rsidP="00D761AC">
      <w:pPr>
        <w:pStyle w:val="NormalnyWeb"/>
        <w:numPr>
          <w:ilvl w:val="0"/>
          <w:numId w:val="17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Bony (obecne w 3 województwach)</w:t>
      </w:r>
    </w:p>
    <w:p w14:paraId="33EE0895" w14:textId="77777777" w:rsidR="00FB06CF" w:rsidRPr="00A9762C" w:rsidRDefault="00FB06CF" w:rsidP="00FB06CF">
      <w:pPr>
        <w:pStyle w:val="NormalnyWeb"/>
        <w:shd w:val="clear" w:color="auto" w:fill="FFFFFF"/>
        <w:spacing w:line="270" w:lineRule="atLeast"/>
        <w:ind w:left="770"/>
        <w:jc w:val="center"/>
        <w:rPr>
          <w:rFonts w:asciiTheme="minorHAnsi" w:eastAsiaTheme="minorHAnsi" w:hAnsiTheme="minorHAnsi" w:cstheme="minorHAnsi"/>
          <w:lang w:eastAsia="en-US"/>
        </w:rPr>
      </w:pPr>
      <w:r w:rsidRPr="00BF7807">
        <w:rPr>
          <w:b/>
          <w:noProof/>
          <w:lang w:val="en-GB" w:eastAsia="en-GB"/>
        </w:rPr>
        <w:drawing>
          <wp:inline distT="0" distB="0" distL="0" distR="0" wp14:anchorId="1ABADA52" wp14:editId="0D563962">
            <wp:extent cx="5760720" cy="27698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143E" w14:textId="77777777" w:rsidR="00A9762C" w:rsidRDefault="00A9762C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29317FBE" w14:textId="77777777" w:rsidR="00A9762C" w:rsidRPr="00FB06CF" w:rsidRDefault="00FB06CF" w:rsidP="00627543">
      <w:pPr>
        <w:pStyle w:val="NormalnyWeb"/>
        <w:keepNext/>
        <w:numPr>
          <w:ilvl w:val="0"/>
          <w:numId w:val="17"/>
        </w:numPr>
        <w:shd w:val="clear" w:color="auto" w:fill="FFFFFF"/>
        <w:spacing w:line="270" w:lineRule="atLeast"/>
        <w:ind w:left="765" w:hanging="357"/>
        <w:rPr>
          <w:rFonts w:asciiTheme="minorHAnsi" w:eastAsiaTheme="minorHAnsi" w:hAnsiTheme="minorHAnsi" w:cstheme="minorHAnsi"/>
          <w:lang w:eastAsia="en-US"/>
        </w:rPr>
      </w:pPr>
      <w:r w:rsidRPr="00FB06CF">
        <w:rPr>
          <w:rFonts w:asciiTheme="minorHAnsi" w:eastAsiaTheme="minorHAnsi" w:hAnsiTheme="minorHAnsi" w:cstheme="minorHAnsi"/>
          <w:lang w:eastAsia="en-US"/>
        </w:rPr>
        <w:lastRenderedPageBreak/>
        <w:t xml:space="preserve">Refundacja </w:t>
      </w:r>
      <w:r>
        <w:rPr>
          <w:rFonts w:asciiTheme="minorHAnsi" w:eastAsiaTheme="minorHAnsi" w:hAnsiTheme="minorHAnsi" w:cstheme="minorHAnsi"/>
          <w:lang w:eastAsia="en-US"/>
        </w:rPr>
        <w:t xml:space="preserve">(obecna w 10 województwach) </w:t>
      </w:r>
    </w:p>
    <w:p w14:paraId="6AFE611B" w14:textId="77777777" w:rsidR="00FB06CF" w:rsidRDefault="00FB06CF" w:rsidP="00FB06CF">
      <w:pPr>
        <w:pStyle w:val="NormalnyWeb"/>
        <w:shd w:val="clear" w:color="auto" w:fill="FFFFFF"/>
        <w:spacing w:line="270" w:lineRule="atLeast"/>
        <w:ind w:left="851"/>
        <w:jc w:val="center"/>
        <w:rPr>
          <w:rFonts w:asciiTheme="minorHAnsi" w:eastAsiaTheme="minorHAnsi" w:hAnsiTheme="minorHAnsi" w:cstheme="minorHAnsi"/>
          <w:highlight w:val="yellow"/>
          <w:lang w:eastAsia="en-US"/>
        </w:rPr>
      </w:pPr>
      <w:r w:rsidRPr="00BF7807">
        <w:rPr>
          <w:b/>
          <w:noProof/>
          <w:lang w:val="en-GB" w:eastAsia="en-GB"/>
        </w:rPr>
        <w:drawing>
          <wp:inline distT="0" distB="0" distL="0" distR="0" wp14:anchorId="3FE423EB" wp14:editId="2E42B481">
            <wp:extent cx="5760720" cy="27406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34C8" w14:textId="77777777" w:rsidR="00FB06CF" w:rsidRDefault="00FB06CF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2355ACC2" w14:textId="77777777" w:rsidR="00FB06CF" w:rsidRPr="00FB06CF" w:rsidRDefault="00FB06CF" w:rsidP="00FB06CF">
      <w:pPr>
        <w:pStyle w:val="NormalnyWeb"/>
        <w:numPr>
          <w:ilvl w:val="0"/>
          <w:numId w:val="17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FB06CF">
        <w:rPr>
          <w:rFonts w:asciiTheme="minorHAnsi" w:eastAsiaTheme="minorHAnsi" w:hAnsiTheme="minorHAnsi" w:cstheme="minorHAnsi"/>
          <w:lang w:eastAsia="en-US"/>
        </w:rPr>
        <w:t xml:space="preserve">Konto przedpłacone </w:t>
      </w:r>
      <w:r>
        <w:rPr>
          <w:rFonts w:asciiTheme="minorHAnsi" w:eastAsiaTheme="minorHAnsi" w:hAnsiTheme="minorHAnsi" w:cstheme="minorHAnsi"/>
          <w:lang w:eastAsia="en-US"/>
        </w:rPr>
        <w:t>(obecne w 1 województwie)</w:t>
      </w:r>
    </w:p>
    <w:p w14:paraId="28D1489F" w14:textId="77777777" w:rsidR="00FB06CF" w:rsidRDefault="00FB06CF" w:rsidP="00FB06CF">
      <w:pPr>
        <w:pStyle w:val="NormalnyWeb"/>
        <w:shd w:val="clear" w:color="auto" w:fill="FFFFFF"/>
        <w:spacing w:line="270" w:lineRule="atLeast"/>
        <w:ind w:left="567"/>
        <w:jc w:val="center"/>
        <w:rPr>
          <w:rFonts w:asciiTheme="minorHAnsi" w:eastAsiaTheme="minorHAnsi" w:hAnsiTheme="minorHAnsi" w:cstheme="minorHAnsi"/>
          <w:highlight w:val="yellow"/>
          <w:lang w:eastAsia="en-US"/>
        </w:rPr>
      </w:pPr>
      <w:r w:rsidRPr="00BF7807">
        <w:rPr>
          <w:b/>
          <w:noProof/>
          <w:lang w:val="en-GB" w:eastAsia="en-GB"/>
        </w:rPr>
        <w:drawing>
          <wp:inline distT="0" distB="0" distL="0" distR="0" wp14:anchorId="5013934D" wp14:editId="1A06D408">
            <wp:extent cx="5760720" cy="2760345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BD3CD" w14:textId="77777777" w:rsidR="00FB06CF" w:rsidRPr="00FB06CF" w:rsidRDefault="00FB06CF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 12 województwach ze wsparcia mogą korzystać wyłącznie przedsiębiorcy (kierują na szkolenia swoich pracowników jeżeli spełnią kryteria uzyskania dofinansowania), w 2 województwach PSF jest dedykowany zarówno przedsiębiorcom, jak i osobom fizycznym (po spełnianiu określonych kryteriów warunkujących otrzymanie dofinansowania). </w:t>
      </w:r>
    </w:p>
    <w:p w14:paraId="2F5949B9" w14:textId="77777777" w:rsidR="00FB06CF" w:rsidRDefault="00FB06CF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0F6E0791" w14:textId="77777777" w:rsidR="00FB06CF" w:rsidRPr="004E1F05" w:rsidRDefault="00FB06CF" w:rsidP="00FB06CF">
      <w:pPr>
        <w:pStyle w:val="Nagwek1"/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4"/>
          <w:szCs w:val="24"/>
        </w:rPr>
      </w:pPr>
      <w:r w:rsidRPr="004E1F05">
        <w:rPr>
          <w:rFonts w:asciiTheme="minorHAnsi" w:eastAsiaTheme="minorHAnsi" w:hAnsiTheme="minorHAnsi" w:cstheme="minorHAnsi"/>
          <w:b/>
          <w:sz w:val="24"/>
          <w:szCs w:val="24"/>
        </w:rPr>
        <w:t xml:space="preserve">Cele badania </w:t>
      </w:r>
    </w:p>
    <w:p w14:paraId="0B24F27D" w14:textId="77777777" w:rsidR="00FB06CF" w:rsidRDefault="00FB06CF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23774A5A" w14:textId="77777777" w:rsidR="00B62D4E" w:rsidRDefault="00B62D4E" w:rsidP="00C12EDE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Głównym celem badania będzie ocena funkcjonującego modelu wsparcia</w:t>
      </w:r>
      <w:r w:rsidR="00D97BD0">
        <w:rPr>
          <w:rFonts w:asciiTheme="minorHAnsi" w:eastAsiaTheme="minorHAnsi" w:hAnsiTheme="minorHAnsi" w:cstheme="minorHAnsi"/>
          <w:lang w:eastAsia="en-US"/>
        </w:rPr>
        <w:t xml:space="preserve"> EFS na rzecz </w:t>
      </w:r>
      <w:r w:rsidR="00D97BD0" w:rsidRPr="00A9762C">
        <w:rPr>
          <w:rFonts w:asciiTheme="minorHAnsi" w:eastAsiaTheme="minorHAnsi" w:hAnsiTheme="minorHAnsi" w:cstheme="minorHAnsi"/>
          <w:lang w:eastAsia="en-US"/>
        </w:rPr>
        <w:t>adaptacyjności przedsiębiorców i pracowników</w:t>
      </w:r>
      <w:r>
        <w:rPr>
          <w:rFonts w:asciiTheme="minorHAnsi" w:eastAsiaTheme="minorHAnsi" w:hAnsiTheme="minorHAnsi" w:cstheme="minorHAnsi"/>
          <w:lang w:eastAsia="en-US"/>
        </w:rPr>
        <w:t xml:space="preserve">, zarówno na poziomie krajowym (BUR), jak i </w:t>
      </w:r>
      <w:r>
        <w:rPr>
          <w:rFonts w:asciiTheme="minorHAnsi" w:eastAsiaTheme="minorHAnsi" w:hAnsiTheme="minorHAnsi" w:cstheme="minorHAnsi"/>
          <w:lang w:eastAsia="en-US"/>
        </w:rPr>
        <w:lastRenderedPageBreak/>
        <w:t>regionalnym (PSF). A zatem w obszarze zainteresowań badawczych będą się mieściły następujące zagadnienia:</w:t>
      </w:r>
    </w:p>
    <w:p w14:paraId="326C273A" w14:textId="77777777" w:rsidR="00B62D4E" w:rsidRDefault="00B62D4E" w:rsidP="00B62D4E">
      <w:pPr>
        <w:pStyle w:val="NormalnyWeb"/>
        <w:numPr>
          <w:ilvl w:val="0"/>
          <w:numId w:val="17"/>
        </w:numPr>
        <w:shd w:val="clear" w:color="auto" w:fill="FFFFFF"/>
        <w:spacing w:line="270" w:lineRule="atLeast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Funkcjonowanie BUR, zwłaszcza w kontekście wpływu przyjętych rozwiązań na kształtowanie się struktury usług (dopasowania do potrzeb klientów) oraz na ich jakość.</w:t>
      </w:r>
    </w:p>
    <w:p w14:paraId="7A29AF50" w14:textId="77777777" w:rsidR="00B62D4E" w:rsidRPr="00FB06CF" w:rsidRDefault="00B62D4E" w:rsidP="00B62D4E">
      <w:pPr>
        <w:pStyle w:val="NormalnyWeb"/>
        <w:numPr>
          <w:ilvl w:val="0"/>
          <w:numId w:val="17"/>
        </w:numPr>
        <w:shd w:val="clear" w:color="auto" w:fill="FFFFFF"/>
        <w:spacing w:line="270" w:lineRule="atLeast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Funkcjonowanie PSF, zwłaszcza w kontekście ewentualnych różnic efektywności, skuteczności i użyteczności mogących być konsekwencją przyjętych (na poziomie poszczególnych PSF) modeli dystrybucji środków. </w:t>
      </w:r>
    </w:p>
    <w:p w14:paraId="2C3788B3" w14:textId="21F5B31F" w:rsidR="00FB06CF" w:rsidRPr="00C12EDE" w:rsidRDefault="00B62D4E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C12EDE">
        <w:rPr>
          <w:rFonts w:asciiTheme="minorHAnsi" w:eastAsiaTheme="minorHAnsi" w:hAnsiTheme="minorHAnsi" w:cstheme="minorHAnsi"/>
          <w:lang w:eastAsia="en-US"/>
        </w:rPr>
        <w:t xml:space="preserve">Oczekiwaniem 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Zamawiającego </w:t>
      </w:r>
      <w:r w:rsidRPr="00C12EDE">
        <w:rPr>
          <w:rFonts w:asciiTheme="minorHAnsi" w:eastAsiaTheme="minorHAnsi" w:hAnsiTheme="minorHAnsi" w:cstheme="minorHAnsi"/>
          <w:lang w:eastAsia="en-US"/>
        </w:rPr>
        <w:t xml:space="preserve">będzie, aby 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Wykonawca </w:t>
      </w:r>
      <w:r w:rsidRPr="00C12EDE">
        <w:rPr>
          <w:rFonts w:asciiTheme="minorHAnsi" w:eastAsiaTheme="minorHAnsi" w:hAnsiTheme="minorHAnsi" w:cstheme="minorHAnsi"/>
          <w:lang w:eastAsia="en-US"/>
        </w:rPr>
        <w:t xml:space="preserve">dostarczył wiedzę pozwalającą na identyfikację potencjalnych słabych </w:t>
      </w:r>
      <w:r w:rsidR="00C12EDE" w:rsidRPr="00C12EDE">
        <w:rPr>
          <w:rFonts w:asciiTheme="minorHAnsi" w:eastAsiaTheme="minorHAnsi" w:hAnsiTheme="minorHAnsi" w:cstheme="minorHAnsi"/>
          <w:lang w:eastAsia="en-US"/>
        </w:rPr>
        <w:t>stron systemu (BUR i PSF) oraz zaproponował środki zaradcze, jak również określił mocne jego strony, w tym również takie, których potencjał nie jest dotychczas wystarczająco wykorzystany (a być powinien)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 lub takie, zwłaszcza na poziomie regionalnym, które jako przykłady dobrych praktyk mogą posłużyć innym regionom w doskonaleniu </w:t>
      </w:r>
      <w:r w:rsidR="008B07A3">
        <w:rPr>
          <w:rFonts w:asciiTheme="minorHAnsi" w:eastAsiaTheme="minorHAnsi" w:hAnsiTheme="minorHAnsi" w:cstheme="minorHAnsi"/>
          <w:lang w:eastAsia="en-US"/>
        </w:rPr>
        <w:t xml:space="preserve">własnych </w:t>
      </w:r>
      <w:r w:rsidR="0036036B">
        <w:rPr>
          <w:rFonts w:asciiTheme="minorHAnsi" w:eastAsiaTheme="minorHAnsi" w:hAnsiTheme="minorHAnsi" w:cstheme="minorHAnsi"/>
          <w:lang w:eastAsia="en-US"/>
        </w:rPr>
        <w:t>PSF.</w:t>
      </w:r>
    </w:p>
    <w:p w14:paraId="6983FF96" w14:textId="77777777" w:rsidR="00C12EDE" w:rsidRPr="004E1F05" w:rsidRDefault="00C12EDE" w:rsidP="00C12EDE">
      <w:pPr>
        <w:pStyle w:val="Nagwek1"/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4"/>
          <w:szCs w:val="24"/>
        </w:rPr>
      </w:pPr>
      <w:r w:rsidRPr="004E1F05">
        <w:rPr>
          <w:rFonts w:asciiTheme="minorHAnsi" w:eastAsiaTheme="minorHAnsi" w:hAnsiTheme="minorHAnsi" w:cstheme="minorHAnsi"/>
          <w:b/>
          <w:sz w:val="24"/>
          <w:szCs w:val="24"/>
        </w:rPr>
        <w:t xml:space="preserve">Metodologia badania </w:t>
      </w:r>
    </w:p>
    <w:p w14:paraId="07F0FF0D" w14:textId="77777777" w:rsidR="00C12EDE" w:rsidRDefault="00C12EDE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43755C3B" w14:textId="77777777" w:rsidR="00C12EDE" w:rsidRDefault="00C12EDE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Osiągnięcie wyżej wymienionych celów badania będzie wymagało zastosowania </w:t>
      </w:r>
      <w:r w:rsidR="004E1F05">
        <w:rPr>
          <w:rFonts w:asciiTheme="minorHAnsi" w:eastAsiaTheme="minorHAnsi" w:hAnsiTheme="minorHAnsi" w:cstheme="minorHAnsi"/>
          <w:lang w:eastAsia="en-US"/>
        </w:rPr>
        <w:t xml:space="preserve">metod ilościowych oraz jakościowych, 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oraz </w:t>
      </w:r>
      <w:r w:rsidR="004E1F05">
        <w:rPr>
          <w:rFonts w:asciiTheme="minorHAnsi" w:eastAsiaTheme="minorHAnsi" w:hAnsiTheme="minorHAnsi" w:cstheme="minorHAnsi"/>
          <w:lang w:eastAsia="en-US"/>
        </w:rPr>
        <w:t>sięgnięcia po dane wtórne i pierwotne. W ramach badania przewidywane jest wykorzystanie:</w:t>
      </w:r>
    </w:p>
    <w:p w14:paraId="08601A5B" w14:textId="77777777" w:rsidR="004E1F05" w:rsidRDefault="004E1F05" w:rsidP="004E1F05">
      <w:pPr>
        <w:pStyle w:val="NormalnyWeb"/>
        <w:numPr>
          <w:ilvl w:val="0"/>
          <w:numId w:val="1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Analizy danych zastanych </w:t>
      </w:r>
    </w:p>
    <w:p w14:paraId="69DFBD25" w14:textId="77777777" w:rsidR="004E1F05" w:rsidRDefault="004E1F05" w:rsidP="004E1F05">
      <w:pPr>
        <w:pStyle w:val="NormalnyWeb"/>
        <w:numPr>
          <w:ilvl w:val="0"/>
          <w:numId w:val="1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Indywidulanych wywiadów pogłębionych (IDI) lub telefonicznych wywiadów pogłębionych (TDI)</w:t>
      </w:r>
    </w:p>
    <w:p w14:paraId="47681519" w14:textId="4FF7C205" w:rsidR="004E1F05" w:rsidRPr="00080E89" w:rsidRDefault="003903BB" w:rsidP="004E1F05">
      <w:pPr>
        <w:pStyle w:val="NormalnyWeb"/>
        <w:numPr>
          <w:ilvl w:val="0"/>
          <w:numId w:val="1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Mini FGI</w:t>
      </w:r>
    </w:p>
    <w:p w14:paraId="7EFE460E" w14:textId="77777777" w:rsidR="004E1F05" w:rsidRPr="00C12EDE" w:rsidRDefault="004E1F05" w:rsidP="004E1F05">
      <w:pPr>
        <w:pStyle w:val="NormalnyWeb"/>
        <w:numPr>
          <w:ilvl w:val="0"/>
          <w:numId w:val="1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Wywiadów telefonicznych wspomaganych komputerowo (CATI) lub wywiadów internetowych wspomaganych komputerowo (CAWI) </w:t>
      </w:r>
    </w:p>
    <w:p w14:paraId="7BD28F74" w14:textId="77777777" w:rsidR="00C12EDE" w:rsidRPr="004E1F05" w:rsidRDefault="004E1F05" w:rsidP="004E1F05">
      <w:pPr>
        <w:pStyle w:val="NormalnyWeb"/>
        <w:numPr>
          <w:ilvl w:val="1"/>
          <w:numId w:val="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b/>
          <w:lang w:eastAsia="en-US"/>
        </w:rPr>
      </w:pPr>
      <w:r w:rsidRPr="004E1F05">
        <w:rPr>
          <w:rFonts w:asciiTheme="minorHAnsi" w:eastAsiaTheme="minorHAnsi" w:hAnsiTheme="minorHAnsi" w:cstheme="minorHAnsi"/>
          <w:b/>
          <w:lang w:eastAsia="en-US"/>
        </w:rPr>
        <w:t xml:space="preserve">Analiza danych zastanych </w:t>
      </w:r>
    </w:p>
    <w:p w14:paraId="57D64575" w14:textId="69E56DAC" w:rsidR="004E1F05" w:rsidRDefault="004E1F05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4E1F05">
        <w:rPr>
          <w:rFonts w:asciiTheme="minorHAnsi" w:eastAsiaTheme="minorHAnsi" w:hAnsiTheme="minorHAnsi" w:cstheme="minorHAnsi"/>
          <w:lang w:eastAsia="en-US"/>
        </w:rPr>
        <w:t xml:space="preserve">W ramach </w:t>
      </w:r>
      <w:r>
        <w:rPr>
          <w:rFonts w:asciiTheme="minorHAnsi" w:eastAsiaTheme="minorHAnsi" w:hAnsiTheme="minorHAnsi" w:cstheme="minorHAnsi"/>
          <w:lang w:eastAsia="en-US"/>
        </w:rPr>
        <w:t xml:space="preserve">analizy danych zastanych Wykonawca dokona przeglądu dokumentów formalnych w przedmiotowym zakresie działania. Będą to m.in. </w:t>
      </w:r>
      <w:r w:rsidR="00165867">
        <w:rPr>
          <w:rFonts w:asciiTheme="minorHAnsi" w:eastAsiaTheme="minorHAnsi" w:hAnsiTheme="minorHAnsi" w:cstheme="minorHAnsi"/>
          <w:lang w:eastAsia="en-US"/>
        </w:rPr>
        <w:t xml:space="preserve">materiały dotyczące zasad funkcjonowania Bazy, 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poszczególnych 14 </w:t>
      </w:r>
      <w:r w:rsidR="00165867">
        <w:rPr>
          <w:rFonts w:asciiTheme="minorHAnsi" w:eastAsiaTheme="minorHAnsi" w:hAnsiTheme="minorHAnsi" w:cstheme="minorHAnsi"/>
          <w:lang w:eastAsia="en-US"/>
        </w:rPr>
        <w:t>PSF, ale również dokumentacja wyższego rzędu, tj. odnosząca się do całości założeń dotyczących systemu popytowego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 w ramach POWER i Umowy Partnerstwa , na lata 2014-2020.</w:t>
      </w:r>
      <w:r w:rsidR="0016586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52337E22" w14:textId="77777777" w:rsidR="00165867" w:rsidRPr="004E1F05" w:rsidRDefault="00165867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Ponadto</w:t>
      </w:r>
      <w:r w:rsidR="0036036B">
        <w:rPr>
          <w:rFonts w:asciiTheme="minorHAnsi" w:eastAsiaTheme="minorHAnsi" w:hAnsiTheme="minorHAnsi" w:cstheme="minorHAnsi"/>
          <w:lang w:eastAsia="en-US"/>
        </w:rPr>
        <w:t>,</w:t>
      </w:r>
      <w:r>
        <w:rPr>
          <w:rFonts w:asciiTheme="minorHAnsi" w:eastAsiaTheme="minorHAnsi" w:hAnsiTheme="minorHAnsi" w:cstheme="minorHAnsi"/>
          <w:lang w:eastAsia="en-US"/>
        </w:rPr>
        <w:t xml:space="preserve"> ten element badania będzie wymagał przeprowadzenia analiz statystycznych, których podstawę będzie stanowiła baza danych Bazy Usług Rozwojowych. Przykładowo tego typu analiza może prowadzić do ustalenie struktury usług i usługodawców oraz ich klientów, pozawalać na analizę zmian, jakie zachodzą w tym zakresie od początku uruchomienia projektu. </w:t>
      </w:r>
    </w:p>
    <w:p w14:paraId="1C7AB605" w14:textId="77777777" w:rsidR="004E1F05" w:rsidRDefault="004E1F05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2AA5A53A" w14:textId="77777777" w:rsidR="00165867" w:rsidRPr="004E1F05" w:rsidRDefault="00165867" w:rsidP="00165867">
      <w:pPr>
        <w:pStyle w:val="NormalnyWeb"/>
        <w:numPr>
          <w:ilvl w:val="1"/>
          <w:numId w:val="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 xml:space="preserve">IDI lub TDI </w:t>
      </w:r>
    </w:p>
    <w:p w14:paraId="2FC05985" w14:textId="21AD4F48" w:rsidR="001706F4" w:rsidRDefault="00E843A8" w:rsidP="000646F2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lastRenderedPageBreak/>
        <w:t xml:space="preserve">IDI/TDI będą prowadzone w następujących grupach respondentów: </w:t>
      </w:r>
      <w:r w:rsidRPr="00855E35">
        <w:rPr>
          <w:rFonts w:asciiTheme="minorHAnsi" w:eastAsiaTheme="minorHAnsi" w:hAnsiTheme="minorHAnsi" w:cstheme="minorHAnsi"/>
          <w:b/>
          <w:lang w:eastAsia="en-US"/>
        </w:rPr>
        <w:t>a)</w:t>
      </w:r>
      <w:r>
        <w:rPr>
          <w:rFonts w:asciiTheme="minorHAnsi" w:eastAsiaTheme="minorHAnsi" w:hAnsiTheme="minorHAnsi" w:cstheme="minorHAnsi"/>
          <w:lang w:eastAsia="en-US"/>
        </w:rPr>
        <w:t xml:space="preserve"> pracowników jednostek 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centralnych (IZ POWER) oraz regionalnych </w:t>
      </w:r>
      <w:r>
        <w:rPr>
          <w:rFonts w:asciiTheme="minorHAnsi" w:eastAsiaTheme="minorHAnsi" w:hAnsiTheme="minorHAnsi" w:cstheme="minorHAnsi"/>
          <w:lang w:eastAsia="en-US"/>
        </w:rPr>
        <w:t xml:space="preserve">odpowiedzialnych za 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zarządzanie </w:t>
      </w:r>
      <w:r>
        <w:rPr>
          <w:rFonts w:asciiTheme="minorHAnsi" w:eastAsiaTheme="minorHAnsi" w:hAnsiTheme="minorHAnsi" w:cstheme="minorHAnsi"/>
          <w:lang w:eastAsia="en-US"/>
        </w:rPr>
        <w:t>EFS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 i </w:t>
      </w:r>
      <w:r>
        <w:rPr>
          <w:rFonts w:asciiTheme="minorHAnsi" w:eastAsiaTheme="minorHAnsi" w:hAnsiTheme="minorHAnsi" w:cstheme="minorHAnsi"/>
          <w:lang w:eastAsia="en-US"/>
        </w:rPr>
        <w:t>PSF oraz projekt BUR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 (PARP – Beneficjent projektu)</w:t>
      </w:r>
      <w:r>
        <w:rPr>
          <w:rFonts w:asciiTheme="minorHAnsi" w:eastAsiaTheme="minorHAnsi" w:hAnsiTheme="minorHAnsi" w:cstheme="minorHAnsi"/>
          <w:lang w:eastAsia="en-US"/>
        </w:rPr>
        <w:t xml:space="preserve">; </w:t>
      </w:r>
      <w:r w:rsidRPr="00855E35">
        <w:rPr>
          <w:rFonts w:asciiTheme="minorHAnsi" w:eastAsiaTheme="minorHAnsi" w:hAnsiTheme="minorHAnsi" w:cstheme="minorHAnsi"/>
          <w:b/>
          <w:lang w:eastAsia="en-US"/>
        </w:rPr>
        <w:t>b)</w:t>
      </w:r>
      <w:r>
        <w:rPr>
          <w:rFonts w:asciiTheme="minorHAnsi" w:eastAsiaTheme="minorHAnsi" w:hAnsiTheme="minorHAnsi" w:cstheme="minorHAnsi"/>
          <w:lang w:eastAsia="en-US"/>
        </w:rPr>
        <w:t xml:space="preserve"> operatorów – podmioty, za których pośrednictwem prowadzona jest dystrybucja środków w regionach; </w:t>
      </w:r>
      <w:r w:rsidRPr="00855E35">
        <w:rPr>
          <w:rFonts w:asciiTheme="minorHAnsi" w:eastAsiaTheme="minorHAnsi" w:hAnsiTheme="minorHAnsi" w:cstheme="minorHAnsi"/>
          <w:b/>
          <w:lang w:eastAsia="en-US"/>
        </w:rPr>
        <w:t>c)</w:t>
      </w:r>
      <w:r>
        <w:rPr>
          <w:rFonts w:asciiTheme="minorHAnsi" w:eastAsiaTheme="minorHAnsi" w:hAnsiTheme="minorHAnsi" w:cstheme="minorHAnsi"/>
          <w:lang w:eastAsia="en-US"/>
        </w:rPr>
        <w:t xml:space="preserve"> klientów – przedsiębiorcy, których pracownicy korzystają z usług rozwojowych dofinansowanych w ramach PSF; </w:t>
      </w:r>
      <w:r w:rsidRPr="00855E35">
        <w:rPr>
          <w:rFonts w:asciiTheme="minorHAnsi" w:eastAsiaTheme="minorHAnsi" w:hAnsiTheme="minorHAnsi" w:cstheme="minorHAnsi"/>
          <w:b/>
          <w:lang w:eastAsia="en-US"/>
        </w:rPr>
        <w:t>d)</w:t>
      </w:r>
      <w:r>
        <w:rPr>
          <w:rFonts w:asciiTheme="minorHAnsi" w:eastAsiaTheme="minorHAnsi" w:hAnsiTheme="minorHAnsi" w:cstheme="minorHAnsi"/>
          <w:lang w:eastAsia="en-US"/>
        </w:rPr>
        <w:t xml:space="preserve"> usługodawców – firmy zarejestrowana w BUR, świadczące usługi rozwojowe. </w:t>
      </w:r>
    </w:p>
    <w:p w14:paraId="013706AE" w14:textId="44AD0802" w:rsidR="001706F4" w:rsidRDefault="00E843A8" w:rsidP="000646F2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IDI/TDI </w:t>
      </w:r>
      <w:r w:rsidRPr="000646F2">
        <w:rPr>
          <w:rFonts w:asciiTheme="minorHAnsi" w:eastAsiaTheme="minorHAnsi" w:hAnsiTheme="minorHAnsi" w:cstheme="minorHAnsi"/>
          <w:lang w:eastAsia="en-US"/>
        </w:rPr>
        <w:t xml:space="preserve">pozwolą Wykonawcy pogłębić wiedzę dotyczącą funkcjonowania PSF oraz BUR z perspektywy różnych grup zaangażowanych w ten system. IDI zostaną w szczególności wykorzystane do uzyskania informacji o sposobie realizowania zadań stawianych przed poszczególnymi podmiotami, zidentyfikowania skuteczności systemów wsparcia i optymalizacji dotychczas stosowanych rozwiązań. </w:t>
      </w:r>
      <w:r>
        <w:rPr>
          <w:rFonts w:asciiTheme="minorHAnsi" w:eastAsiaTheme="minorHAnsi" w:hAnsiTheme="minorHAnsi" w:cstheme="minorHAnsi"/>
          <w:lang w:eastAsia="en-US"/>
        </w:rPr>
        <w:t xml:space="preserve">Wiedza pozyskana w ramach 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wywiadów pogłębionych </w:t>
      </w:r>
      <w:r>
        <w:rPr>
          <w:rFonts w:asciiTheme="minorHAnsi" w:eastAsiaTheme="minorHAnsi" w:hAnsiTheme="minorHAnsi" w:cstheme="minorHAnsi"/>
          <w:lang w:eastAsia="en-US"/>
        </w:rPr>
        <w:t xml:space="preserve">(zwłaszcza z przedstawicielami podmiotów odpowiedzialnych za wdrażanie PSF i projekt BUR) będzie również przydatna na etapie uszczegółowiania metodologii, m.in. przygotowywania narzędzi badawczych potrzebnych na dalszych etapach badania. </w:t>
      </w:r>
    </w:p>
    <w:p w14:paraId="37080000" w14:textId="77777777" w:rsidR="00E843A8" w:rsidRDefault="00E843A8" w:rsidP="00E843A8">
      <w:pPr>
        <w:pStyle w:val="NormalnyWeb"/>
        <w:numPr>
          <w:ilvl w:val="0"/>
          <w:numId w:val="30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Pracownicy jednostek odpowiedzialnych za EFS, PSF i projekt BUR</w:t>
      </w:r>
      <w:r w:rsidR="00401994">
        <w:rPr>
          <w:rFonts w:asciiTheme="minorHAnsi" w:eastAsiaTheme="minorHAnsi" w:hAnsiTheme="minorHAnsi" w:cstheme="minorHAnsi"/>
          <w:lang w:eastAsia="en-US"/>
        </w:rPr>
        <w:t>, n=16, w tym:</w:t>
      </w:r>
    </w:p>
    <w:p w14:paraId="48F4E215" w14:textId="3D18FDA2" w:rsidR="000646F2" w:rsidRDefault="000646F2" w:rsidP="000646F2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Pracownicy 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MIiR Departament Zarzadzania </w:t>
      </w:r>
      <w:r>
        <w:rPr>
          <w:rFonts w:asciiTheme="minorHAnsi" w:eastAsiaTheme="minorHAnsi" w:hAnsiTheme="minorHAnsi" w:cstheme="minorHAnsi"/>
          <w:lang w:eastAsia="en-US"/>
        </w:rPr>
        <w:t>EFS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 (IZ POWER)</w:t>
      </w:r>
      <w:r>
        <w:rPr>
          <w:rFonts w:asciiTheme="minorHAnsi" w:eastAsiaTheme="minorHAnsi" w:hAnsiTheme="minorHAnsi" w:cstheme="minorHAnsi"/>
          <w:lang w:eastAsia="en-US"/>
        </w:rPr>
        <w:t>, n=1</w:t>
      </w:r>
      <w:r w:rsidR="00401994">
        <w:rPr>
          <w:rFonts w:asciiTheme="minorHAnsi" w:eastAsiaTheme="minorHAnsi" w:hAnsiTheme="minorHAnsi" w:cstheme="minorHAnsi"/>
          <w:lang w:eastAsia="en-US"/>
        </w:rPr>
        <w:t>,</w:t>
      </w:r>
    </w:p>
    <w:p w14:paraId="75921C03" w14:textId="77777777" w:rsidR="000646F2" w:rsidRDefault="000646F2" w:rsidP="000646F2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Pracownicy PARP</w:t>
      </w:r>
      <w:r w:rsidR="0036036B">
        <w:rPr>
          <w:rFonts w:asciiTheme="minorHAnsi" w:eastAsiaTheme="minorHAnsi" w:hAnsiTheme="minorHAnsi" w:cstheme="minorHAnsi"/>
          <w:lang w:eastAsia="en-US"/>
        </w:rPr>
        <w:t xml:space="preserve"> (Beneficjent projektu BUR)</w:t>
      </w:r>
      <w:r>
        <w:rPr>
          <w:rFonts w:asciiTheme="minorHAnsi" w:eastAsiaTheme="minorHAnsi" w:hAnsiTheme="minorHAnsi" w:cstheme="minorHAnsi"/>
          <w:lang w:eastAsia="en-US"/>
        </w:rPr>
        <w:t>, n=1</w:t>
      </w:r>
      <w:r w:rsidR="00401994">
        <w:rPr>
          <w:rFonts w:asciiTheme="minorHAnsi" w:eastAsiaTheme="minorHAnsi" w:hAnsiTheme="minorHAnsi" w:cstheme="minorHAnsi"/>
          <w:lang w:eastAsia="en-US"/>
        </w:rPr>
        <w:t>,</w:t>
      </w:r>
    </w:p>
    <w:p w14:paraId="01499DDF" w14:textId="77777777" w:rsidR="001706F4" w:rsidRDefault="000646F2" w:rsidP="001706F4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Pracownicy IZ</w:t>
      </w:r>
      <w:r w:rsidR="001706F4">
        <w:rPr>
          <w:rFonts w:asciiTheme="minorHAnsi" w:eastAsiaTheme="minorHAnsi" w:hAnsiTheme="minorHAnsi" w:cstheme="minorHAnsi"/>
          <w:lang w:eastAsia="en-US"/>
        </w:rPr>
        <w:t xml:space="preserve"> RPO, n=14 (po 1 wywia</w:t>
      </w:r>
      <w:r>
        <w:rPr>
          <w:rFonts w:asciiTheme="minorHAnsi" w:eastAsiaTheme="minorHAnsi" w:hAnsiTheme="minorHAnsi" w:cstheme="minorHAnsi"/>
          <w:lang w:eastAsia="en-US"/>
        </w:rPr>
        <w:t>dzie na każde województwo)</w:t>
      </w:r>
      <w:r w:rsidR="00401994">
        <w:rPr>
          <w:rFonts w:asciiTheme="minorHAnsi" w:eastAsiaTheme="minorHAnsi" w:hAnsiTheme="minorHAnsi" w:cstheme="minorHAnsi"/>
          <w:lang w:eastAsia="en-US"/>
        </w:rPr>
        <w:t>.</w:t>
      </w:r>
      <w:r w:rsidR="001706F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003A3461" w14:textId="77777777" w:rsidR="00855E35" w:rsidRDefault="00855E35" w:rsidP="00855E35">
      <w:pPr>
        <w:pStyle w:val="NormalnyWeb"/>
        <w:shd w:val="clear" w:color="auto" w:fill="FFFFFF"/>
        <w:spacing w:line="270" w:lineRule="atLeast"/>
        <w:ind w:left="426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Szacunkowy czas wywiadu: 40-60 minut.</w:t>
      </w:r>
    </w:p>
    <w:p w14:paraId="53F821D7" w14:textId="77777777" w:rsidR="001706F4" w:rsidRDefault="00401994" w:rsidP="001706F4">
      <w:pPr>
        <w:pStyle w:val="NormalnyWeb"/>
        <w:numPr>
          <w:ilvl w:val="0"/>
          <w:numId w:val="30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Operatorzy, n=42 – próba wyczerpująca, w zależności od województwa liczba operatorów waha się od 1 do 6. </w:t>
      </w:r>
    </w:p>
    <w:p w14:paraId="713707B6" w14:textId="77777777" w:rsidR="00855E35" w:rsidRPr="00401994" w:rsidRDefault="00855E35" w:rsidP="00855E35">
      <w:pPr>
        <w:pStyle w:val="NormalnyWeb"/>
        <w:shd w:val="clear" w:color="auto" w:fill="FFFFFF"/>
        <w:spacing w:line="270" w:lineRule="atLeast"/>
        <w:ind w:left="426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Szacunkowy czas wywiadu: 40-60 minut.</w:t>
      </w:r>
    </w:p>
    <w:p w14:paraId="672FB3F2" w14:textId="77777777" w:rsidR="00401994" w:rsidRDefault="00401994" w:rsidP="00401994">
      <w:pPr>
        <w:pStyle w:val="NormalnyWeb"/>
        <w:numPr>
          <w:ilvl w:val="0"/>
          <w:numId w:val="30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Klienci (przedsiębiorcy, których pracownicy korzystają z usług rozwojowych dofinansowanych w ramach PSF)</w:t>
      </w:r>
      <w:r w:rsidR="00855E35">
        <w:rPr>
          <w:rFonts w:asciiTheme="minorHAnsi" w:eastAsiaTheme="minorHAnsi" w:hAnsiTheme="minorHAnsi" w:cstheme="minorHAnsi"/>
          <w:lang w:eastAsia="en-US"/>
        </w:rPr>
        <w:t>, n=30</w:t>
      </w:r>
    </w:p>
    <w:p w14:paraId="2C173B3C" w14:textId="77777777" w:rsidR="00855E35" w:rsidRDefault="00855E35" w:rsidP="00855E35">
      <w:pPr>
        <w:pStyle w:val="NormalnyWeb"/>
        <w:shd w:val="clear" w:color="auto" w:fill="FFFFFF"/>
        <w:spacing w:line="270" w:lineRule="atLeast"/>
        <w:ind w:left="426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W</w:t>
      </w:r>
      <w:r w:rsidRPr="00855E35">
        <w:rPr>
          <w:rFonts w:asciiTheme="minorHAnsi" w:eastAsiaTheme="minorHAnsi" w:hAnsiTheme="minorHAnsi" w:cstheme="minorHAnsi"/>
          <w:lang w:eastAsia="en-US"/>
        </w:rPr>
        <w:t xml:space="preserve"> wywiadach będą uczestniczyły podmioty </w:t>
      </w:r>
      <w:r>
        <w:rPr>
          <w:rFonts w:asciiTheme="minorHAnsi" w:eastAsiaTheme="minorHAnsi" w:hAnsiTheme="minorHAnsi" w:cstheme="minorHAnsi"/>
          <w:lang w:eastAsia="en-US"/>
        </w:rPr>
        <w:t xml:space="preserve">korzystające z </w:t>
      </w:r>
      <w:r w:rsidRPr="00855E35">
        <w:rPr>
          <w:rFonts w:asciiTheme="minorHAnsi" w:eastAsiaTheme="minorHAnsi" w:hAnsiTheme="minorHAnsi" w:cstheme="minorHAnsi"/>
          <w:lang w:eastAsia="en-US"/>
        </w:rPr>
        <w:t>różn</w:t>
      </w:r>
      <w:r>
        <w:rPr>
          <w:rFonts w:asciiTheme="minorHAnsi" w:eastAsiaTheme="minorHAnsi" w:hAnsiTheme="minorHAnsi" w:cstheme="minorHAnsi"/>
          <w:lang w:eastAsia="en-US"/>
        </w:rPr>
        <w:t>ych</w:t>
      </w:r>
      <w:r w:rsidRPr="00855E35">
        <w:rPr>
          <w:rFonts w:asciiTheme="minorHAnsi" w:eastAsiaTheme="minorHAnsi" w:hAnsiTheme="minorHAnsi" w:cstheme="minorHAnsi"/>
          <w:lang w:eastAsia="en-US"/>
        </w:rPr>
        <w:t xml:space="preserve"> model</w:t>
      </w:r>
      <w:r>
        <w:rPr>
          <w:rFonts w:asciiTheme="minorHAnsi" w:eastAsiaTheme="minorHAnsi" w:hAnsiTheme="minorHAnsi" w:cstheme="minorHAnsi"/>
          <w:lang w:eastAsia="en-US"/>
        </w:rPr>
        <w:t>i</w:t>
      </w:r>
      <w:r w:rsidRPr="00855E35">
        <w:rPr>
          <w:rFonts w:asciiTheme="minorHAnsi" w:eastAsiaTheme="minorHAnsi" w:hAnsiTheme="minorHAnsi" w:cstheme="minorHAnsi"/>
          <w:lang w:eastAsia="en-US"/>
        </w:rPr>
        <w:t xml:space="preserve"> finansowania</w:t>
      </w:r>
      <w:r>
        <w:rPr>
          <w:rFonts w:asciiTheme="minorHAnsi" w:eastAsiaTheme="minorHAnsi" w:hAnsiTheme="minorHAnsi" w:cstheme="minorHAnsi"/>
          <w:lang w:eastAsia="en-US"/>
        </w:rPr>
        <w:t xml:space="preserve"> (po 10 na model). Można przyjąć, że dobór będzie dodatkowo uzależniony od charakterystyki przedsiębiorstwa (np. mikro, małe, średnie) oraz od typu usługi rozwojowej, z której skorzystali pracownicy przedsiębiorstwa. </w:t>
      </w:r>
    </w:p>
    <w:p w14:paraId="12482AFE" w14:textId="77777777" w:rsidR="00855E35" w:rsidRDefault="00855E35" w:rsidP="00855E35">
      <w:pPr>
        <w:pStyle w:val="NormalnyWeb"/>
        <w:shd w:val="clear" w:color="auto" w:fill="FFFFFF"/>
        <w:spacing w:line="270" w:lineRule="atLeast"/>
        <w:ind w:left="426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Szacunkowy czas wywiadu: 40 minut.</w:t>
      </w:r>
    </w:p>
    <w:p w14:paraId="75A5FC9B" w14:textId="77777777" w:rsidR="00855E35" w:rsidRPr="00855E35" w:rsidRDefault="00855E35" w:rsidP="00855E35">
      <w:pPr>
        <w:pStyle w:val="NormalnyWeb"/>
        <w:numPr>
          <w:ilvl w:val="0"/>
          <w:numId w:val="30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Usługodawcy - firmy zarejestrowana w BUR, świadczące usługi rozwojowe, n=30</w:t>
      </w:r>
    </w:p>
    <w:p w14:paraId="7BD8B832" w14:textId="77777777" w:rsidR="00080E89" w:rsidRDefault="00855E35" w:rsidP="00855E35">
      <w:pPr>
        <w:pStyle w:val="NormalnyWeb"/>
        <w:shd w:val="clear" w:color="auto" w:fill="FFFFFF"/>
        <w:spacing w:line="270" w:lineRule="atLeast"/>
        <w:ind w:left="426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W</w:t>
      </w:r>
      <w:r w:rsidRPr="00855E35">
        <w:rPr>
          <w:rFonts w:asciiTheme="minorHAnsi" w:eastAsiaTheme="minorHAnsi" w:hAnsiTheme="minorHAnsi" w:cstheme="minorHAnsi"/>
          <w:lang w:eastAsia="en-US"/>
        </w:rPr>
        <w:t xml:space="preserve"> wywiadach będą uczestniczyły podmioty </w:t>
      </w:r>
      <w:r>
        <w:rPr>
          <w:rFonts w:asciiTheme="minorHAnsi" w:eastAsiaTheme="minorHAnsi" w:hAnsiTheme="minorHAnsi" w:cstheme="minorHAnsi"/>
          <w:lang w:eastAsia="en-US"/>
        </w:rPr>
        <w:t>działające w ramach różnych modeli</w:t>
      </w:r>
      <w:r w:rsidR="00080E89">
        <w:rPr>
          <w:rFonts w:asciiTheme="minorHAnsi" w:eastAsiaTheme="minorHAnsi" w:hAnsiTheme="minorHAnsi" w:cstheme="minorHAnsi"/>
          <w:lang w:eastAsia="en-US"/>
        </w:rPr>
        <w:t xml:space="preserve"> finansowania (</w:t>
      </w:r>
      <w:r w:rsidRPr="00855E35">
        <w:rPr>
          <w:rFonts w:asciiTheme="minorHAnsi" w:eastAsiaTheme="minorHAnsi" w:hAnsiTheme="minorHAnsi" w:cstheme="minorHAnsi"/>
          <w:lang w:eastAsia="en-US"/>
        </w:rPr>
        <w:t>bony, refundacje, konta przedpłacone</w:t>
      </w:r>
      <w:r w:rsidR="00080E89">
        <w:rPr>
          <w:rFonts w:asciiTheme="minorHAnsi" w:eastAsiaTheme="minorHAnsi" w:hAnsiTheme="minorHAnsi" w:cstheme="minorHAnsi"/>
          <w:lang w:eastAsia="en-US"/>
        </w:rPr>
        <w:t>), po 10 wywiadów na model.</w:t>
      </w:r>
      <w:r w:rsidRPr="00855E35">
        <w:rPr>
          <w:rFonts w:asciiTheme="minorHAnsi" w:eastAsiaTheme="minorHAnsi" w:hAnsiTheme="minorHAnsi" w:cstheme="minorHAnsi"/>
          <w:lang w:eastAsia="en-US"/>
        </w:rPr>
        <w:t xml:space="preserve"> </w:t>
      </w:r>
      <w:r w:rsidR="00080E89">
        <w:rPr>
          <w:rFonts w:asciiTheme="minorHAnsi" w:eastAsiaTheme="minorHAnsi" w:hAnsiTheme="minorHAnsi" w:cstheme="minorHAnsi"/>
          <w:lang w:eastAsia="en-US"/>
        </w:rPr>
        <w:t>Ponadto dobór jednostek do badania może być określany przez inne cechy, np. typ świadczonej usługi rozwojowej, staż rynkowy usługodawcy, wielkość przedsiębiorstwa.</w:t>
      </w:r>
    </w:p>
    <w:p w14:paraId="441F59F7" w14:textId="77777777" w:rsidR="00080E89" w:rsidRDefault="00080E89" w:rsidP="00080E89">
      <w:pPr>
        <w:pStyle w:val="NormalnyWeb"/>
        <w:shd w:val="clear" w:color="auto" w:fill="FFFFFF"/>
        <w:spacing w:line="270" w:lineRule="atLeast"/>
        <w:ind w:left="426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Szacunkowy czas wywiadu: 40 minut.</w:t>
      </w:r>
    </w:p>
    <w:p w14:paraId="01CB1FB1" w14:textId="77777777" w:rsidR="00165867" w:rsidRDefault="00080E89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Wywiady z przedstawicielami powyżej opisanych grup będą prowadzone z wykorzystaniem ustrukturyzowanego scenariusza wywiadu. </w:t>
      </w:r>
    </w:p>
    <w:p w14:paraId="688B7D4D" w14:textId="77777777" w:rsidR="00165867" w:rsidRPr="005022C5" w:rsidRDefault="005022C5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5022C5">
        <w:rPr>
          <w:rFonts w:asciiTheme="minorHAnsi" w:eastAsiaTheme="minorHAnsi" w:hAnsiTheme="minorHAnsi" w:cstheme="minorHAnsi"/>
          <w:lang w:eastAsia="en-US"/>
        </w:rPr>
        <w:t xml:space="preserve">Łączna </w:t>
      </w:r>
      <w:r>
        <w:rPr>
          <w:rFonts w:asciiTheme="minorHAnsi" w:eastAsiaTheme="minorHAnsi" w:hAnsiTheme="minorHAnsi" w:cstheme="minorHAnsi"/>
          <w:lang w:eastAsia="en-US"/>
        </w:rPr>
        <w:t>liczba wywiadów: n=118</w:t>
      </w:r>
    </w:p>
    <w:p w14:paraId="4A52CF10" w14:textId="77777777" w:rsidR="00165867" w:rsidRPr="004E1F05" w:rsidRDefault="00165867" w:rsidP="00165867">
      <w:pPr>
        <w:pStyle w:val="NormalnyWeb"/>
        <w:numPr>
          <w:ilvl w:val="1"/>
          <w:numId w:val="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lastRenderedPageBreak/>
        <w:t xml:space="preserve">CATI lub CAWI </w:t>
      </w:r>
    </w:p>
    <w:p w14:paraId="65DE6C5B" w14:textId="77777777" w:rsidR="00165867" w:rsidRDefault="00165867" w:rsidP="00165867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W ramach tych technik planowane jest badanie dwóch grup respondentów: klientów (osoby skierowane na szkolenia przez przedsiębiorców oraz osoby fizyczne</w:t>
      </w:r>
      <w:r>
        <w:rPr>
          <w:rStyle w:val="Odwoanieprzypisudolnego"/>
          <w:rFonts w:asciiTheme="minorHAnsi" w:eastAsiaTheme="minorHAnsi" w:hAnsiTheme="minorHAnsi" w:cstheme="minorHAnsi"/>
          <w:lang w:eastAsia="en-US"/>
        </w:rPr>
        <w:footnoteReference w:id="2"/>
      </w:r>
      <w:r>
        <w:rPr>
          <w:rFonts w:asciiTheme="minorHAnsi" w:eastAsiaTheme="minorHAnsi" w:hAnsiTheme="minorHAnsi" w:cstheme="minorHAnsi"/>
          <w:lang w:eastAsia="en-US"/>
        </w:rPr>
        <w:t xml:space="preserve">) </w:t>
      </w:r>
      <w:r w:rsidR="00D74D0A">
        <w:rPr>
          <w:rFonts w:asciiTheme="minorHAnsi" w:eastAsiaTheme="minorHAnsi" w:hAnsiTheme="minorHAnsi" w:cstheme="minorHAnsi"/>
          <w:lang w:eastAsia="en-US"/>
        </w:rPr>
        <w:t xml:space="preserve">oraz usługodawców (podmioty zarejestrowane w BUR, świadczące usługi rozwojowe). </w:t>
      </w:r>
    </w:p>
    <w:p w14:paraId="20EFCD35" w14:textId="77777777" w:rsidR="00D74D0A" w:rsidRDefault="00D74D0A" w:rsidP="00D74D0A">
      <w:pPr>
        <w:pStyle w:val="NormalnyWeb"/>
        <w:numPr>
          <w:ilvl w:val="0"/>
          <w:numId w:val="22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Operat – zostanie dostarczony przez Zamawiającego i będzie liczył około:</w:t>
      </w:r>
    </w:p>
    <w:p w14:paraId="2AA01E2E" w14:textId="77777777" w:rsidR="00D74D0A" w:rsidRDefault="00D74D0A" w:rsidP="00D74D0A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126 tys. rekordów klientów (pracowników przedsiębiorstw),</w:t>
      </w:r>
    </w:p>
    <w:p w14:paraId="5BB29FD4" w14:textId="77777777" w:rsidR="00D74D0A" w:rsidRDefault="00D74D0A" w:rsidP="00D74D0A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37 tys. rekordów klientów (przedsiębiorców),</w:t>
      </w:r>
    </w:p>
    <w:p w14:paraId="6EAA6F0A" w14:textId="77777777" w:rsidR="00D74D0A" w:rsidRDefault="00D74D0A" w:rsidP="00D74D0A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37 tys. rekordów klientów indywidualnych (osoby fizyczne korzystające ze wsparcia bez pośrednictwa przedsiębiorcy),</w:t>
      </w:r>
    </w:p>
    <w:p w14:paraId="1B72C979" w14:textId="77777777" w:rsidR="00D74D0A" w:rsidRDefault="00D74D0A" w:rsidP="00080E89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4 tys.  rekordów usługodawców.</w:t>
      </w:r>
    </w:p>
    <w:p w14:paraId="1DA7DDBB" w14:textId="77777777" w:rsidR="00080E89" w:rsidRPr="00080E89" w:rsidRDefault="00080E89" w:rsidP="00080E89">
      <w:pPr>
        <w:pStyle w:val="NormalnyWeb"/>
        <w:shd w:val="clear" w:color="auto" w:fill="FFFFFF"/>
        <w:spacing w:line="270" w:lineRule="atLeast"/>
        <w:ind w:left="1080"/>
        <w:rPr>
          <w:rFonts w:asciiTheme="minorHAnsi" w:eastAsiaTheme="minorHAnsi" w:hAnsiTheme="minorHAnsi" w:cstheme="minorHAnsi"/>
          <w:lang w:eastAsia="en-US"/>
        </w:rPr>
      </w:pPr>
    </w:p>
    <w:p w14:paraId="4BF2204E" w14:textId="77777777" w:rsidR="00D74D0A" w:rsidRPr="00165867" w:rsidRDefault="00D74D0A" w:rsidP="00D74D0A">
      <w:pPr>
        <w:pStyle w:val="NormalnyWeb"/>
        <w:numPr>
          <w:ilvl w:val="0"/>
          <w:numId w:val="22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Wielkość próby i sposób jej doboru </w:t>
      </w:r>
    </w:p>
    <w:p w14:paraId="22CE3438" w14:textId="125BEC58" w:rsidR="00165867" w:rsidRDefault="00D74D0A" w:rsidP="00D74D0A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Pracownicy przedsiębiorstw, n=2 240; wstępnie należy przyjąć, że dobór będzie miał charakter loso</w:t>
      </w:r>
      <w:r w:rsidR="00AA45FA">
        <w:rPr>
          <w:rFonts w:asciiTheme="minorHAnsi" w:eastAsiaTheme="minorHAnsi" w:hAnsiTheme="minorHAnsi" w:cstheme="minorHAnsi"/>
          <w:lang w:eastAsia="en-US"/>
        </w:rPr>
        <w:t>wo-warstwowy (branża i wielkość przedsiębiorstwa, kategoria usługi, województwo); należy założyć, że próba na poziomie każdego województwa będzie równoliczna (n</w:t>
      </w:r>
      <w:r w:rsidR="003F2F19">
        <w:rPr>
          <w:rFonts w:asciiTheme="minorHAnsi" w:eastAsiaTheme="minorHAnsi" w:hAnsiTheme="minorHAnsi" w:cstheme="minorHAnsi"/>
          <w:lang w:eastAsia="en-US"/>
        </w:rPr>
        <w:t>=160)</w:t>
      </w:r>
      <w:r w:rsidR="00686518">
        <w:rPr>
          <w:rStyle w:val="Odwoanieprzypisudolnego"/>
          <w:rFonts w:asciiTheme="minorHAnsi" w:eastAsiaTheme="minorHAnsi" w:hAnsiTheme="minorHAnsi" w:cstheme="minorHAnsi"/>
          <w:lang w:eastAsia="en-US"/>
        </w:rPr>
        <w:footnoteReference w:id="3"/>
      </w:r>
      <w:r w:rsidR="003F2F19">
        <w:rPr>
          <w:rFonts w:asciiTheme="minorHAnsi" w:eastAsiaTheme="minorHAnsi" w:hAnsiTheme="minorHAnsi" w:cstheme="minorHAnsi"/>
          <w:lang w:eastAsia="en-US"/>
        </w:rPr>
        <w:t>;</w:t>
      </w:r>
    </w:p>
    <w:p w14:paraId="5BB600B0" w14:textId="77777777" w:rsidR="00AA45FA" w:rsidRDefault="00AA45FA" w:rsidP="00D74D0A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Klienci indywidualni, n=500; wstępnie należy przyjąć, że również w tym przypadku zostanie zastosowany dobór losowo-warstwowy, a próba powinna odzwierciedlać podstawowe charakterystyki beneficjentów oraz wsparcia, jakie otrzymali;</w:t>
      </w:r>
      <w:r w:rsidR="003F2F19">
        <w:rPr>
          <w:rFonts w:asciiTheme="minorHAnsi" w:eastAsiaTheme="minorHAnsi" w:hAnsiTheme="minorHAnsi" w:cstheme="minorHAnsi"/>
          <w:lang w:eastAsia="en-US"/>
        </w:rPr>
        <w:t xml:space="preserve"> alokacja n=250 na województwo; </w:t>
      </w:r>
    </w:p>
    <w:p w14:paraId="7045508D" w14:textId="77777777" w:rsidR="00D74D0A" w:rsidRPr="004A7F92" w:rsidRDefault="003F2F19" w:rsidP="005839D1">
      <w:pPr>
        <w:pStyle w:val="NormalnyWeb"/>
        <w:numPr>
          <w:ilvl w:val="0"/>
          <w:numId w:val="23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 w:rsidRPr="003F2F19">
        <w:rPr>
          <w:rFonts w:asciiTheme="minorHAnsi" w:eastAsiaTheme="minorHAnsi" w:hAnsiTheme="minorHAnsi" w:cstheme="minorHAnsi"/>
          <w:lang w:eastAsia="en-US"/>
        </w:rPr>
        <w:t xml:space="preserve">Usługodawcy, n=500, dobór </w:t>
      </w:r>
      <w:r w:rsidR="00080E89">
        <w:rPr>
          <w:rFonts w:asciiTheme="minorHAnsi" w:eastAsiaTheme="minorHAnsi" w:hAnsiTheme="minorHAnsi" w:cstheme="minorHAnsi"/>
          <w:lang w:eastAsia="en-US"/>
        </w:rPr>
        <w:t>próby zostanie oparty na wynikach analizy danych zastanych</w:t>
      </w:r>
      <w:r>
        <w:rPr>
          <w:rFonts w:asciiTheme="minorHAnsi" w:eastAsiaTheme="minorHAnsi" w:hAnsiTheme="minorHAnsi" w:cstheme="minorHAnsi"/>
          <w:lang w:eastAsia="en-US"/>
        </w:rPr>
        <w:t xml:space="preserve">, przy czym prawdopodobnie nie zostaną wyznaczone kwoty na poszczególne województwa. </w:t>
      </w:r>
    </w:p>
    <w:p w14:paraId="2E3031A7" w14:textId="77777777" w:rsidR="00165867" w:rsidRDefault="003F2F19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Łącznie Wykonawca powinien zrealizować 3 240 wywiadów. </w:t>
      </w:r>
    </w:p>
    <w:p w14:paraId="09ED9409" w14:textId="77777777" w:rsidR="00080E89" w:rsidRPr="00080E89" w:rsidRDefault="00080E89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Szacunkowy czas wywiadu CATI nie powinien przekroczyć 15 minut. </w:t>
      </w:r>
    </w:p>
    <w:p w14:paraId="7A54D1DE" w14:textId="6EDB1943" w:rsidR="00080E89" w:rsidRPr="004E1F05" w:rsidRDefault="003903BB" w:rsidP="00080E89">
      <w:pPr>
        <w:pStyle w:val="NormalnyWeb"/>
        <w:numPr>
          <w:ilvl w:val="1"/>
          <w:numId w:val="8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Mini FGI</w:t>
      </w:r>
      <w:r w:rsidR="00080E89">
        <w:rPr>
          <w:rFonts w:asciiTheme="minorHAnsi" w:eastAsiaTheme="minorHAnsi" w:hAnsiTheme="minorHAnsi" w:cstheme="minorHAnsi"/>
          <w:b/>
          <w:lang w:eastAsia="en-US"/>
        </w:rPr>
        <w:t xml:space="preserve"> </w:t>
      </w:r>
    </w:p>
    <w:p w14:paraId="23041F1F" w14:textId="6A2A912A" w:rsidR="00080E89" w:rsidRPr="004A5833" w:rsidRDefault="00080E89" w:rsidP="00080E89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Wstępnie należy założyć, że zostanie zorganizowanych 15 </w:t>
      </w:r>
      <w:r w:rsidR="003903BB">
        <w:rPr>
          <w:rFonts w:asciiTheme="minorHAnsi" w:eastAsiaTheme="minorHAnsi" w:hAnsiTheme="minorHAnsi" w:cstheme="minorHAnsi"/>
          <w:lang w:eastAsia="en-US"/>
        </w:rPr>
        <w:t>mini FGI</w:t>
      </w:r>
      <w:r w:rsidR="009947BE">
        <w:rPr>
          <w:rFonts w:asciiTheme="minorHAnsi" w:eastAsiaTheme="minorHAnsi" w:hAnsiTheme="minorHAnsi" w:cstheme="minorHAnsi"/>
          <w:lang w:eastAsia="en-US"/>
        </w:rPr>
        <w:t xml:space="preserve"> (</w:t>
      </w:r>
      <w:r>
        <w:rPr>
          <w:rFonts w:asciiTheme="minorHAnsi" w:eastAsiaTheme="minorHAnsi" w:hAnsiTheme="minorHAnsi" w:cstheme="minorHAnsi"/>
          <w:lang w:eastAsia="en-US"/>
        </w:rPr>
        <w:t>po 1 w każdym z województw, w którym działa PSF oraz 1 w Warszawie</w:t>
      </w:r>
      <w:r w:rsidR="009947BE">
        <w:rPr>
          <w:rFonts w:asciiTheme="minorHAnsi" w:eastAsiaTheme="minorHAnsi" w:hAnsiTheme="minorHAnsi" w:cstheme="minorHAnsi"/>
          <w:lang w:eastAsia="en-US"/>
        </w:rPr>
        <w:t>)</w:t>
      </w:r>
      <w:r>
        <w:rPr>
          <w:rFonts w:asciiTheme="minorHAnsi" w:eastAsiaTheme="minorHAnsi" w:hAnsiTheme="minorHAnsi" w:cstheme="minorHAnsi"/>
          <w:lang w:eastAsia="en-US"/>
        </w:rPr>
        <w:t xml:space="preserve">. Do udziału powinny zostać zaproszone osoby posiadające wiedzę na temat funkcjonowania rynku usług rozwojowych oraz osoby związane z PSF (np. odpowiadające za działanie PSF na poziomie województwa). W każdym </w:t>
      </w:r>
      <w:r w:rsidR="00BF1624">
        <w:rPr>
          <w:rFonts w:asciiTheme="minorHAnsi" w:eastAsiaTheme="minorHAnsi" w:hAnsiTheme="minorHAnsi" w:cstheme="minorHAnsi"/>
          <w:lang w:eastAsia="en-US"/>
        </w:rPr>
        <w:t>FGI</w:t>
      </w:r>
      <w:r>
        <w:rPr>
          <w:rFonts w:asciiTheme="minorHAnsi" w:eastAsiaTheme="minorHAnsi" w:hAnsiTheme="minorHAnsi" w:cstheme="minorHAnsi"/>
          <w:lang w:eastAsia="en-US"/>
        </w:rPr>
        <w:t xml:space="preserve"> powinny wziąć udział przynajmniej 4 osoby, z którymi zostaną omówione </w:t>
      </w:r>
      <w:r>
        <w:rPr>
          <w:rFonts w:asciiTheme="minorHAnsi" w:eastAsiaTheme="minorHAnsi" w:hAnsiTheme="minorHAnsi" w:cstheme="minorHAnsi"/>
          <w:lang w:eastAsia="en-US"/>
        </w:rPr>
        <w:lastRenderedPageBreak/>
        <w:t xml:space="preserve">wyniki badania, w tym zwłaszcza w kontekście wypracowania ostatecznych rekomendacji badania. </w:t>
      </w:r>
    </w:p>
    <w:p w14:paraId="702AAA45" w14:textId="77777777" w:rsidR="00080E89" w:rsidRDefault="00080E89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2FD31A3E" w14:textId="77777777" w:rsidR="004A7F92" w:rsidRPr="004E1F05" w:rsidRDefault="004A7F92" w:rsidP="00080E89">
      <w:pPr>
        <w:pStyle w:val="Nagwek1"/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Produkty badania </w:t>
      </w:r>
    </w:p>
    <w:p w14:paraId="50A29C0E" w14:textId="77777777" w:rsidR="004A7F92" w:rsidRDefault="004A7F92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0949B5A2" w14:textId="77777777" w:rsidR="004A7F92" w:rsidRDefault="004A7F92" w:rsidP="004A7F92">
      <w:pPr>
        <w:pStyle w:val="NormalnyWeb"/>
        <w:numPr>
          <w:ilvl w:val="0"/>
          <w:numId w:val="27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Raport metodologiczny</w:t>
      </w:r>
    </w:p>
    <w:p w14:paraId="6BC9B495" w14:textId="77777777" w:rsidR="004A7F92" w:rsidRDefault="004A7F92" w:rsidP="004A7F92">
      <w:pPr>
        <w:pStyle w:val="NormalnyWeb"/>
        <w:numPr>
          <w:ilvl w:val="0"/>
          <w:numId w:val="27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Raport końcowy (doc. lub równoważny)</w:t>
      </w:r>
    </w:p>
    <w:p w14:paraId="3421A2D4" w14:textId="77777777" w:rsidR="004A7F92" w:rsidRPr="004A7F92" w:rsidRDefault="004A7F92" w:rsidP="004A7F92">
      <w:pPr>
        <w:pStyle w:val="NormalnyWeb"/>
        <w:numPr>
          <w:ilvl w:val="0"/>
          <w:numId w:val="27"/>
        </w:numPr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Prezentacja wyników badania (Power Point)</w:t>
      </w:r>
    </w:p>
    <w:p w14:paraId="09706BAC" w14:textId="2D630595" w:rsidR="00165867" w:rsidRPr="00BF1624" w:rsidRDefault="00C836FB" w:rsidP="00623EFC">
      <w:pPr>
        <w:pStyle w:val="NormalnyWeb"/>
        <w:shd w:val="clear" w:color="auto" w:fill="FFFFFF"/>
        <w:spacing w:line="270" w:lineRule="atLeas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Należy</w:t>
      </w:r>
      <w:r w:rsidRPr="00C836FB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szacować, że realizacja badania będzie trwała około 26-30 tygodni. </w:t>
      </w:r>
    </w:p>
    <w:p w14:paraId="6A595310" w14:textId="45EF5636" w:rsidR="00627543" w:rsidRDefault="00627543">
      <w:pPr>
        <w:spacing w:after="160" w:line="259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62754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FD3EB4" w16cid:durableId="20605476"/>
  <w16cid:commentId w16cid:paraId="213CF186" w16cid:durableId="20605582"/>
  <w16cid:commentId w16cid:paraId="3A0A5FB9" w16cid:durableId="206056C3"/>
  <w16cid:commentId w16cid:paraId="10DD38C2" w16cid:durableId="20605B7F"/>
  <w16cid:commentId w16cid:paraId="57BCE8AB" w16cid:durableId="20605C19"/>
  <w16cid:commentId w16cid:paraId="0536C3FD" w16cid:durableId="20605CB6"/>
  <w16cid:commentId w16cid:paraId="4F4BF0AC" w16cid:durableId="20605DE1"/>
  <w16cid:commentId w16cid:paraId="160A1954" w16cid:durableId="2060602D"/>
  <w16cid:commentId w16cid:paraId="1C7A6763" w16cid:durableId="20606061"/>
  <w16cid:commentId w16cid:paraId="1EDCF977" w16cid:durableId="20606081"/>
  <w16cid:commentId w16cid:paraId="5C19857C" w16cid:durableId="206060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A5C9D" w14:textId="77777777" w:rsidR="002D2821" w:rsidRDefault="002D2821" w:rsidP="00801539">
      <w:r>
        <w:separator/>
      </w:r>
    </w:p>
  </w:endnote>
  <w:endnote w:type="continuationSeparator" w:id="0">
    <w:p w14:paraId="0BA6F642" w14:textId="77777777" w:rsidR="002D2821" w:rsidRDefault="002D2821" w:rsidP="0080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CD417" w14:textId="77777777" w:rsidR="002D2821" w:rsidRDefault="002D2821" w:rsidP="00801539">
      <w:r>
        <w:separator/>
      </w:r>
    </w:p>
  </w:footnote>
  <w:footnote w:type="continuationSeparator" w:id="0">
    <w:p w14:paraId="45448B67" w14:textId="77777777" w:rsidR="002D2821" w:rsidRDefault="002D2821" w:rsidP="00801539">
      <w:r>
        <w:continuationSeparator/>
      </w:r>
    </w:p>
  </w:footnote>
  <w:footnote w:id="1">
    <w:p w14:paraId="3E698D7F" w14:textId="77777777" w:rsidR="00A9762C" w:rsidRDefault="00A9762C">
      <w:pPr>
        <w:pStyle w:val="Tekstprzypisudolnego"/>
      </w:pPr>
      <w:r>
        <w:rPr>
          <w:rStyle w:val="Odwoanieprzypisudolnego"/>
        </w:rPr>
        <w:footnoteRef/>
      </w:r>
      <w:r>
        <w:t xml:space="preserve"> Usługa rozwojowa - </w:t>
      </w:r>
      <w:r w:rsidRPr="00A9762C">
        <w:t>Usługa mająca na celu nabycie, utrzymanie lub wzrost wiedzy, umiejętności lub kompetencji społecznych przedsiębiorców i ich pracowników, w tym prowadzące do zdobycia kwalifikacji, o których mowa w art. 2 pkt 8* ustawy z dnia 22 grudnia 2015 r. o Zintegrowanym Systemie Kwalifikacji (Dz. U. z 2016 r. poz. 64) lub polegające na walidacji, o której mowa w art. 2 pkt 22** tej ustawy, lub pozwalające na ich rozwój.</w:t>
      </w:r>
      <w:r>
        <w:t xml:space="preserve"> </w:t>
      </w:r>
      <w:r w:rsidRPr="00A9762C">
        <w:t>* - kwalifikacja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>
        <w:t xml:space="preserve">; </w:t>
      </w:r>
      <w:r w:rsidRPr="00A9762C">
        <w:t>** - walidacja – sprawdzenie, czy osoba ubiegająca się o nadanie określonej kwalifikacji, niezależnie od sposobu uczenia się tej osoby, osiągnęła wyodrębnioną część lub całość efektów uczenia się wymaganych dla tej kwalifikacji;</w:t>
      </w:r>
    </w:p>
  </w:footnote>
  <w:footnote w:id="2">
    <w:p w14:paraId="7266216B" w14:textId="77777777" w:rsidR="00165867" w:rsidRDefault="00165867">
      <w:pPr>
        <w:pStyle w:val="Tekstprzypisudolnego"/>
      </w:pPr>
      <w:r>
        <w:rPr>
          <w:rStyle w:val="Odwoanieprzypisudolnego"/>
        </w:rPr>
        <w:footnoteRef/>
      </w:r>
      <w:r>
        <w:t xml:space="preserve"> W dwóch województwach</w:t>
      </w:r>
      <w:r w:rsidR="0079220A">
        <w:t xml:space="preserve"> ze w</w:t>
      </w:r>
      <w:r w:rsidR="00D74D0A">
        <w:t xml:space="preserve">sparcia można korzystać bez konieczności zgłoszenia przez przedsiębiorcę. </w:t>
      </w:r>
    </w:p>
  </w:footnote>
  <w:footnote w:id="3">
    <w:p w14:paraId="6B86B672" w14:textId="7E8A99AE" w:rsidR="00686518" w:rsidRDefault="00686518">
      <w:pPr>
        <w:pStyle w:val="Tekstprzypisudolnego"/>
      </w:pPr>
      <w:r>
        <w:rPr>
          <w:rStyle w:val="Odwoanieprzypisudolnego"/>
        </w:rPr>
        <w:footnoteRef/>
      </w:r>
      <w:r>
        <w:t xml:space="preserve"> Wstępnie przewidujemy, że Wykonawca dobierze przedsiębiorstwa, które uzyskały wsparcie z PSF, a następnie w ramach tej grupy zostaną wylosowani pracownicy skierowani na szkolenia. Ostateczna alokacja, liczba pracowników badanych w ramach 1 przedsiębiorstwa będzie uzależniona od wyników analizy danych BUR. Niemniej, można założyć, że będzie to około 2 pracowników na 1 przedsiębiorstwo, z możliwymi odstępstwami, np. w sytuacji, gdy odpowiednio liczna będzie grupa przedsiębiorców, którzy na szkolenia kierowali tylko 1 osobę lub liczna będzie grupa, gdzie na szkolenia w ramach 1 przedsiębiorstwa było kierowanych &gt; 10 osób.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E14B3" w14:textId="77777777" w:rsidR="00801539" w:rsidRDefault="00D9510C">
    <w:pPr>
      <w:pStyle w:val="Nagwek"/>
    </w:pPr>
    <w:r>
      <w:rPr>
        <w:noProof/>
        <w:lang w:val="en-GB" w:eastAsia="en-GB"/>
      </w:rPr>
      <w:drawing>
        <wp:inline distT="0" distB="0" distL="0" distR="0" wp14:anchorId="69DE0B75" wp14:editId="066A7DD2">
          <wp:extent cx="5760720" cy="6261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C5A"/>
    <w:multiLevelType w:val="hybridMultilevel"/>
    <w:tmpl w:val="5F54B7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4AE5"/>
    <w:multiLevelType w:val="hybridMultilevel"/>
    <w:tmpl w:val="3D16D1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2B63"/>
    <w:multiLevelType w:val="hybridMultilevel"/>
    <w:tmpl w:val="DF8699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A75"/>
    <w:multiLevelType w:val="hybridMultilevel"/>
    <w:tmpl w:val="80604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A7C"/>
    <w:multiLevelType w:val="hybridMultilevel"/>
    <w:tmpl w:val="D2FE1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81AC5"/>
    <w:multiLevelType w:val="hybridMultilevel"/>
    <w:tmpl w:val="40BC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5BDF"/>
    <w:multiLevelType w:val="hybridMultilevel"/>
    <w:tmpl w:val="ABC64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D24EA8"/>
    <w:multiLevelType w:val="hybridMultilevel"/>
    <w:tmpl w:val="AB008E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C64CD7"/>
    <w:multiLevelType w:val="hybridMultilevel"/>
    <w:tmpl w:val="30044E7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E35B61"/>
    <w:multiLevelType w:val="hybridMultilevel"/>
    <w:tmpl w:val="F7CAB3CC"/>
    <w:lvl w:ilvl="0" w:tplc="E5D4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6E1"/>
    <w:multiLevelType w:val="hybridMultilevel"/>
    <w:tmpl w:val="233E87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40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E2EC8"/>
    <w:multiLevelType w:val="hybridMultilevel"/>
    <w:tmpl w:val="2466CD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1459"/>
    <w:multiLevelType w:val="hybridMultilevel"/>
    <w:tmpl w:val="1562B1D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F9C7837"/>
    <w:multiLevelType w:val="hybridMultilevel"/>
    <w:tmpl w:val="6C4C11C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2A735AA"/>
    <w:multiLevelType w:val="hybridMultilevel"/>
    <w:tmpl w:val="11484196"/>
    <w:lvl w:ilvl="0" w:tplc="335C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E656C"/>
    <w:multiLevelType w:val="hybridMultilevel"/>
    <w:tmpl w:val="C3DEADB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8ED7D1B"/>
    <w:multiLevelType w:val="hybridMultilevel"/>
    <w:tmpl w:val="93746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2E56"/>
    <w:multiLevelType w:val="hybridMultilevel"/>
    <w:tmpl w:val="880005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1507B"/>
    <w:multiLevelType w:val="hybridMultilevel"/>
    <w:tmpl w:val="B8DE91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33CB"/>
    <w:multiLevelType w:val="hybridMultilevel"/>
    <w:tmpl w:val="5D26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1DE5"/>
    <w:multiLevelType w:val="multilevel"/>
    <w:tmpl w:val="0E9A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A7748"/>
    <w:multiLevelType w:val="hybridMultilevel"/>
    <w:tmpl w:val="042A1A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B6E9B"/>
    <w:multiLevelType w:val="hybridMultilevel"/>
    <w:tmpl w:val="32A2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6284"/>
    <w:multiLevelType w:val="hybridMultilevel"/>
    <w:tmpl w:val="F850C376"/>
    <w:lvl w:ilvl="0" w:tplc="22E87B0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04F33"/>
    <w:multiLevelType w:val="hybridMultilevel"/>
    <w:tmpl w:val="C0180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621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F549B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8D0EB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B010D1"/>
    <w:multiLevelType w:val="hybridMultilevel"/>
    <w:tmpl w:val="7180DE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23"/>
  </w:num>
  <w:num w:numId="7">
    <w:abstractNumId w:val="8"/>
  </w:num>
  <w:num w:numId="8">
    <w:abstractNumId w:val="27"/>
  </w:num>
  <w:num w:numId="9">
    <w:abstractNumId w:val="2"/>
  </w:num>
  <w:num w:numId="10">
    <w:abstractNumId w:val="24"/>
  </w:num>
  <w:num w:numId="11">
    <w:abstractNumId w:val="25"/>
  </w:num>
  <w:num w:numId="12">
    <w:abstractNumId w:val="14"/>
  </w:num>
  <w:num w:numId="13">
    <w:abstractNumId w:val="29"/>
  </w:num>
  <w:num w:numId="14">
    <w:abstractNumId w:val="5"/>
  </w:num>
  <w:num w:numId="15">
    <w:abstractNumId w:val="6"/>
  </w:num>
  <w:num w:numId="16">
    <w:abstractNumId w:val="12"/>
  </w:num>
  <w:num w:numId="17">
    <w:abstractNumId w:val="13"/>
  </w:num>
  <w:num w:numId="18">
    <w:abstractNumId w:val="19"/>
  </w:num>
  <w:num w:numId="19">
    <w:abstractNumId w:val="26"/>
  </w:num>
  <w:num w:numId="20">
    <w:abstractNumId w:val="28"/>
  </w:num>
  <w:num w:numId="21">
    <w:abstractNumId w:val="22"/>
  </w:num>
  <w:num w:numId="22">
    <w:abstractNumId w:val="1"/>
  </w:num>
  <w:num w:numId="23">
    <w:abstractNumId w:val="7"/>
  </w:num>
  <w:num w:numId="24">
    <w:abstractNumId w:val="3"/>
  </w:num>
  <w:num w:numId="25">
    <w:abstractNumId w:val="9"/>
  </w:num>
  <w:num w:numId="26">
    <w:abstractNumId w:val="18"/>
  </w:num>
  <w:num w:numId="27">
    <w:abstractNumId w:val="16"/>
  </w:num>
  <w:num w:numId="28">
    <w:abstractNumId w:val="4"/>
  </w:num>
  <w:num w:numId="29">
    <w:abstractNumId w:val="10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39"/>
    <w:rsid w:val="0000422F"/>
    <w:rsid w:val="000068C0"/>
    <w:rsid w:val="00025FE7"/>
    <w:rsid w:val="000646F2"/>
    <w:rsid w:val="0007079C"/>
    <w:rsid w:val="00080E89"/>
    <w:rsid w:val="000834AC"/>
    <w:rsid w:val="00083B12"/>
    <w:rsid w:val="000C799F"/>
    <w:rsid w:val="000D63CD"/>
    <w:rsid w:val="000E1E6A"/>
    <w:rsid w:val="001106F9"/>
    <w:rsid w:val="00122EEE"/>
    <w:rsid w:val="00165867"/>
    <w:rsid w:val="001706F4"/>
    <w:rsid w:val="001E424F"/>
    <w:rsid w:val="0021080F"/>
    <w:rsid w:val="0026651C"/>
    <w:rsid w:val="002C0F70"/>
    <w:rsid w:val="002D0D56"/>
    <w:rsid w:val="002D2821"/>
    <w:rsid w:val="003319F1"/>
    <w:rsid w:val="0036036B"/>
    <w:rsid w:val="00367FB7"/>
    <w:rsid w:val="003903BB"/>
    <w:rsid w:val="003B7D6D"/>
    <w:rsid w:val="003C1DE4"/>
    <w:rsid w:val="003D1585"/>
    <w:rsid w:val="003F2F19"/>
    <w:rsid w:val="00401994"/>
    <w:rsid w:val="00461347"/>
    <w:rsid w:val="004A5833"/>
    <w:rsid w:val="004A7F92"/>
    <w:rsid w:val="004C39C3"/>
    <w:rsid w:val="004E1F05"/>
    <w:rsid w:val="005022C5"/>
    <w:rsid w:val="00514D2D"/>
    <w:rsid w:val="00517361"/>
    <w:rsid w:val="00533EB3"/>
    <w:rsid w:val="00580BFE"/>
    <w:rsid w:val="005A0130"/>
    <w:rsid w:val="005A392A"/>
    <w:rsid w:val="005D5838"/>
    <w:rsid w:val="005E5C90"/>
    <w:rsid w:val="00604F86"/>
    <w:rsid w:val="0061470F"/>
    <w:rsid w:val="006204C3"/>
    <w:rsid w:val="00623EFC"/>
    <w:rsid w:val="00627543"/>
    <w:rsid w:val="00653A04"/>
    <w:rsid w:val="00656997"/>
    <w:rsid w:val="00671DF5"/>
    <w:rsid w:val="00686518"/>
    <w:rsid w:val="006C4006"/>
    <w:rsid w:val="006D1643"/>
    <w:rsid w:val="006E18A0"/>
    <w:rsid w:val="007164F3"/>
    <w:rsid w:val="00744316"/>
    <w:rsid w:val="0079220A"/>
    <w:rsid w:val="007A5A2C"/>
    <w:rsid w:val="007B6BAF"/>
    <w:rsid w:val="007E2C58"/>
    <w:rsid w:val="00801539"/>
    <w:rsid w:val="0081787D"/>
    <w:rsid w:val="00830EF7"/>
    <w:rsid w:val="0083673D"/>
    <w:rsid w:val="00844C13"/>
    <w:rsid w:val="00855E35"/>
    <w:rsid w:val="00891993"/>
    <w:rsid w:val="008B07A3"/>
    <w:rsid w:val="008B75F4"/>
    <w:rsid w:val="0093559A"/>
    <w:rsid w:val="009947BE"/>
    <w:rsid w:val="009B5A9F"/>
    <w:rsid w:val="009C4BA1"/>
    <w:rsid w:val="009E3481"/>
    <w:rsid w:val="00A43726"/>
    <w:rsid w:val="00A56D07"/>
    <w:rsid w:val="00A9762C"/>
    <w:rsid w:val="00AA45FA"/>
    <w:rsid w:val="00AB4048"/>
    <w:rsid w:val="00B41011"/>
    <w:rsid w:val="00B4143B"/>
    <w:rsid w:val="00B62D4E"/>
    <w:rsid w:val="00BC43B1"/>
    <w:rsid w:val="00BC7EDC"/>
    <w:rsid w:val="00BD640C"/>
    <w:rsid w:val="00BF1624"/>
    <w:rsid w:val="00C12EDE"/>
    <w:rsid w:val="00C729BA"/>
    <w:rsid w:val="00C7320B"/>
    <w:rsid w:val="00C77EDD"/>
    <w:rsid w:val="00C836FB"/>
    <w:rsid w:val="00C94FC0"/>
    <w:rsid w:val="00CC766C"/>
    <w:rsid w:val="00CF45F4"/>
    <w:rsid w:val="00D255FA"/>
    <w:rsid w:val="00D74D0A"/>
    <w:rsid w:val="00D761AC"/>
    <w:rsid w:val="00D765D6"/>
    <w:rsid w:val="00D9510C"/>
    <w:rsid w:val="00D97BD0"/>
    <w:rsid w:val="00DA4BD2"/>
    <w:rsid w:val="00E7140D"/>
    <w:rsid w:val="00E749C1"/>
    <w:rsid w:val="00E77142"/>
    <w:rsid w:val="00E843A8"/>
    <w:rsid w:val="00ED0181"/>
    <w:rsid w:val="00ED393F"/>
    <w:rsid w:val="00EE2B26"/>
    <w:rsid w:val="00F1176A"/>
    <w:rsid w:val="00F24C20"/>
    <w:rsid w:val="00F270DB"/>
    <w:rsid w:val="00F278B8"/>
    <w:rsid w:val="00FA451B"/>
    <w:rsid w:val="00FB06CF"/>
    <w:rsid w:val="00FC421F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57F1"/>
  <w15:chartTrackingRefBased/>
  <w15:docId w15:val="{BCDAC42C-0570-4B1A-863E-FF680B2A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539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95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51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153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01539"/>
    <w:pPr>
      <w:spacing w:after="13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01539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99"/>
    <w:qFormat/>
    <w:rsid w:val="00801539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801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1539"/>
  </w:style>
  <w:style w:type="paragraph" w:styleId="Stopka">
    <w:name w:val="footer"/>
    <w:basedOn w:val="Normalny"/>
    <w:link w:val="StopkaZnak"/>
    <w:uiPriority w:val="99"/>
    <w:unhideWhenUsed/>
    <w:rsid w:val="00801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15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21F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uiPriority w:val="99"/>
    <w:rsid w:val="00FC42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D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D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D56"/>
    <w:rPr>
      <w:vertAlign w:val="superscript"/>
    </w:rPr>
  </w:style>
  <w:style w:type="table" w:styleId="Tabela-Siatka">
    <w:name w:val="Table Grid"/>
    <w:basedOn w:val="Standardowy"/>
    <w:uiPriority w:val="39"/>
    <w:rsid w:val="0065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4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F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F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F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F8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E5C90"/>
  </w:style>
  <w:style w:type="character" w:styleId="Pogrubienie">
    <w:name w:val="Strong"/>
    <w:basedOn w:val="Domylnaczcionkaakapitu"/>
    <w:uiPriority w:val="22"/>
    <w:qFormat/>
    <w:rsid w:val="005E5C9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951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51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A9762C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7BD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0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serwis-uslugirozwojowe.parp.gov.pl/informacje-o-portalu/regulam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FEA0-CC63-4FA5-94B5-CCCCDFF5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jacek_szut@parp.gov.pl</dc:creator>
  <cp:keywords/>
  <dc:description/>
  <cp:lastModifiedBy>Szut Jacek</cp:lastModifiedBy>
  <cp:revision>2</cp:revision>
  <cp:lastPrinted>2019-04-16T11:30:00Z</cp:lastPrinted>
  <dcterms:created xsi:type="dcterms:W3CDTF">2019-04-18T09:43:00Z</dcterms:created>
  <dcterms:modified xsi:type="dcterms:W3CDTF">2019-04-18T09:43:00Z</dcterms:modified>
</cp:coreProperties>
</file>